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FA" w:rsidRPr="009A2798" w:rsidRDefault="00221DFA" w:rsidP="00221DFA">
      <w:pPr>
        <w:spacing w:line="360" w:lineRule="auto"/>
        <w:jc w:val="center"/>
        <w:rPr>
          <w:b/>
          <w:sz w:val="24"/>
          <w:szCs w:val="24"/>
        </w:rPr>
      </w:pPr>
      <w:r w:rsidRPr="009A2798">
        <w:rPr>
          <w:b/>
          <w:sz w:val="24"/>
          <w:szCs w:val="24"/>
        </w:rPr>
        <w:t>COMISSÃO DE CONSTITUIÇÃO E JUSTIÇA E DE CIDADANIA</w:t>
      </w:r>
    </w:p>
    <w:p w:rsidR="00221DFA" w:rsidRPr="009A2798" w:rsidRDefault="00221DFA" w:rsidP="00221DFA">
      <w:pPr>
        <w:spacing w:line="360" w:lineRule="auto"/>
        <w:jc w:val="center"/>
        <w:rPr>
          <w:b/>
          <w:sz w:val="24"/>
          <w:szCs w:val="24"/>
        </w:rPr>
      </w:pPr>
      <w:r w:rsidRPr="009A2798">
        <w:rPr>
          <w:b/>
          <w:sz w:val="24"/>
          <w:szCs w:val="24"/>
        </w:rPr>
        <w:t>PROPOSTA DE EMENDA À CONSTITUIÇÃO Nº 330, DE 2017</w:t>
      </w:r>
    </w:p>
    <w:p w:rsidR="00221DFA" w:rsidRPr="009A2798" w:rsidRDefault="00221DFA" w:rsidP="00221DFA">
      <w:pPr>
        <w:spacing w:line="360" w:lineRule="auto"/>
        <w:ind w:left="4253"/>
        <w:jc w:val="both"/>
        <w:rPr>
          <w:sz w:val="24"/>
          <w:szCs w:val="24"/>
        </w:rPr>
      </w:pPr>
      <w:r w:rsidRPr="009A2798">
        <w:rPr>
          <w:sz w:val="24"/>
          <w:szCs w:val="24"/>
        </w:rPr>
        <w:t>Acrescenta o § 12 ao art. 14 da Constituição Federal.</w:t>
      </w:r>
    </w:p>
    <w:p w:rsidR="00221DFA" w:rsidRPr="009A2798" w:rsidRDefault="00221DFA" w:rsidP="00221DFA">
      <w:pPr>
        <w:spacing w:after="0" w:line="360" w:lineRule="auto"/>
        <w:ind w:left="4253"/>
        <w:jc w:val="both"/>
        <w:rPr>
          <w:sz w:val="24"/>
          <w:szCs w:val="24"/>
        </w:rPr>
      </w:pPr>
      <w:r w:rsidRPr="009A2798">
        <w:rPr>
          <w:b/>
          <w:sz w:val="24"/>
          <w:szCs w:val="24"/>
        </w:rPr>
        <w:t>Autores</w:t>
      </w:r>
      <w:r w:rsidRPr="009A2798">
        <w:rPr>
          <w:sz w:val="24"/>
          <w:szCs w:val="24"/>
        </w:rPr>
        <w:t>: Deputada RENATA ABREU e outros</w:t>
      </w:r>
    </w:p>
    <w:p w:rsidR="00221DFA" w:rsidRDefault="00221DFA" w:rsidP="00221DFA">
      <w:pPr>
        <w:spacing w:line="360" w:lineRule="auto"/>
        <w:ind w:left="4253"/>
        <w:jc w:val="both"/>
        <w:rPr>
          <w:sz w:val="24"/>
          <w:szCs w:val="24"/>
        </w:rPr>
      </w:pPr>
      <w:r w:rsidRPr="009A2798">
        <w:rPr>
          <w:b/>
          <w:sz w:val="24"/>
          <w:szCs w:val="24"/>
        </w:rPr>
        <w:t>Relator</w:t>
      </w:r>
      <w:r w:rsidRPr="009A2798">
        <w:rPr>
          <w:sz w:val="24"/>
          <w:szCs w:val="24"/>
        </w:rPr>
        <w:t xml:space="preserve">: Deputado </w:t>
      </w:r>
      <w:r>
        <w:rPr>
          <w:sz w:val="24"/>
          <w:szCs w:val="24"/>
        </w:rPr>
        <w:t>NOME DO PARLAMENTAR</w:t>
      </w:r>
    </w:p>
    <w:p w:rsidR="00221DFA" w:rsidRDefault="00221DFA" w:rsidP="00221DF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 – RELATÓRIO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 w:rsidRPr="009A2798">
        <w:rPr>
          <w:sz w:val="24"/>
          <w:szCs w:val="24"/>
        </w:rPr>
        <w:t>A Proposta de Emenda à Constituição nº</w:t>
      </w:r>
      <w:r>
        <w:rPr>
          <w:sz w:val="24"/>
          <w:szCs w:val="24"/>
        </w:rPr>
        <w:t xml:space="preserve"> 330. DE 2017, cujo primeiro signatário é a Deputada Renata Abreu, pretende acrescentar o § 12 ao art. 14 da Constituição da República para determinar que o plebiscito e o referendo sejam realizados conjuntamente com as eleições. 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autores argumentam, na justificativa, que a Proposta de Emenda </w:t>
      </w:r>
      <w:r w:rsidRPr="00B87FC8">
        <w:rPr>
          <w:sz w:val="24"/>
          <w:szCs w:val="24"/>
        </w:rPr>
        <w:t xml:space="preserve">à Constituição </w:t>
      </w:r>
      <w:r>
        <w:rPr>
          <w:sz w:val="24"/>
          <w:szCs w:val="24"/>
        </w:rPr>
        <w:t xml:space="preserve">em epígrafe </w:t>
      </w:r>
      <w:r w:rsidRPr="00B87FC8">
        <w:rPr>
          <w:sz w:val="24"/>
          <w:szCs w:val="24"/>
        </w:rPr>
        <w:t>tem por objetivo consagrar a economia, objetividade, eficácia e exequibilidade na captação da vontade popular.</w:t>
      </w:r>
      <w:r>
        <w:rPr>
          <w:sz w:val="24"/>
          <w:szCs w:val="24"/>
        </w:rPr>
        <w:t xml:space="preserve"> Nesse sentido, ressaltam a importância da soberania popular por meio do </w:t>
      </w:r>
      <w:r w:rsidRPr="00B87FC8">
        <w:rPr>
          <w:sz w:val="24"/>
          <w:szCs w:val="24"/>
        </w:rPr>
        <w:t>sufrági</w:t>
      </w:r>
      <w:r>
        <w:rPr>
          <w:sz w:val="24"/>
          <w:szCs w:val="24"/>
        </w:rPr>
        <w:t xml:space="preserve">o universal e pelo voto direto, mas também pelos instrumentos de participação popular, objetos da proposição em análise, o plebiscito e o referendo. 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Além disso, frisão que para realizar o plebiscito e o referendo são gastos muitos recursos públicos e propõem como alternativa ao alto custo para realiza-los que os mesmos sejam realizados em conjunto com as eleições ordinárias a cada dois anos. Por fim, concluem que “d</w:t>
      </w:r>
      <w:r w:rsidRPr="00B87FC8">
        <w:rPr>
          <w:sz w:val="24"/>
          <w:szCs w:val="24"/>
        </w:rPr>
        <w:t>e nada adianta a Constituição Federal prever o instituto se a sua efetivação é impraticável, devido, sobretudo, aos cus</w:t>
      </w:r>
      <w:r>
        <w:rPr>
          <w:sz w:val="24"/>
          <w:szCs w:val="24"/>
        </w:rPr>
        <w:t xml:space="preserve">tos e dificuldades operacionais”. 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Após a arquivação, a proposição sob exame, encontra-se sob nova relatoria desta Comissão de Constituição e Justiça e Cidadania – CCJC, perante a qual aguarda</w:t>
      </w:r>
      <w:r w:rsidRPr="00DD3800">
        <w:rPr>
          <w:sz w:val="24"/>
          <w:szCs w:val="24"/>
        </w:rPr>
        <w:t xml:space="preserve"> parecer ace</w:t>
      </w:r>
      <w:r>
        <w:rPr>
          <w:sz w:val="24"/>
          <w:szCs w:val="24"/>
        </w:rPr>
        <w:t xml:space="preserve">rca de sua constitucionalidade, </w:t>
      </w:r>
      <w:r w:rsidRPr="00DD3800">
        <w:rPr>
          <w:sz w:val="24"/>
          <w:szCs w:val="24"/>
        </w:rPr>
        <w:t xml:space="preserve">juridicidade e técnica legislativa, no prazo </w:t>
      </w:r>
      <w:r>
        <w:rPr>
          <w:sz w:val="24"/>
          <w:szCs w:val="24"/>
        </w:rPr>
        <w:t>regimental</w:t>
      </w:r>
      <w:r w:rsidRPr="00DD3800">
        <w:rPr>
          <w:sz w:val="24"/>
          <w:szCs w:val="24"/>
        </w:rPr>
        <w:t>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o relatório. </w:t>
      </w:r>
    </w:p>
    <w:p w:rsidR="00221DFA" w:rsidRDefault="00221DFA" w:rsidP="00221DFA">
      <w:pPr>
        <w:spacing w:before="240" w:line="360" w:lineRule="auto"/>
        <w:jc w:val="both"/>
        <w:rPr>
          <w:b/>
          <w:sz w:val="24"/>
          <w:szCs w:val="24"/>
        </w:rPr>
      </w:pPr>
      <w:r w:rsidRPr="00AE1506">
        <w:rPr>
          <w:b/>
          <w:sz w:val="24"/>
          <w:szCs w:val="24"/>
        </w:rPr>
        <w:lastRenderedPageBreak/>
        <w:t xml:space="preserve">II – VOTO DO RELATOR </w:t>
      </w:r>
    </w:p>
    <w:p w:rsidR="00221DFA" w:rsidRDefault="00221DFA" w:rsidP="00221DFA">
      <w:pPr>
        <w:spacing w:after="0" w:line="360" w:lineRule="auto"/>
        <w:ind w:firstLine="1134"/>
        <w:jc w:val="both"/>
        <w:rPr>
          <w:b/>
          <w:sz w:val="24"/>
          <w:szCs w:val="24"/>
        </w:rPr>
      </w:pPr>
      <w:r w:rsidRPr="007F6CF2">
        <w:rPr>
          <w:sz w:val="24"/>
          <w:szCs w:val="24"/>
        </w:rPr>
        <w:t xml:space="preserve">Conforme preceitua o </w:t>
      </w:r>
      <w:r w:rsidRPr="00AE1506">
        <w:rPr>
          <w:sz w:val="24"/>
          <w:szCs w:val="24"/>
        </w:rPr>
        <w:t xml:space="preserve">art. 32, IV, b, </w:t>
      </w:r>
      <w:r>
        <w:rPr>
          <w:sz w:val="24"/>
          <w:szCs w:val="24"/>
        </w:rPr>
        <w:t xml:space="preserve">c/c o art. 202, </w:t>
      </w:r>
      <w:r w:rsidRPr="00054A43"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, do Regimento </w:t>
      </w:r>
      <w:r w:rsidRPr="007F6CF2">
        <w:rPr>
          <w:sz w:val="24"/>
          <w:szCs w:val="24"/>
        </w:rPr>
        <w:t xml:space="preserve">Interno da Câmara dos Deputados - RICD, </w:t>
      </w:r>
      <w:r>
        <w:rPr>
          <w:sz w:val="24"/>
          <w:szCs w:val="24"/>
        </w:rPr>
        <w:t>é</w:t>
      </w:r>
      <w:r w:rsidRPr="008F1E39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a competência desta COMISSÃO DE </w:t>
      </w:r>
      <w:r w:rsidRPr="008F1E39">
        <w:rPr>
          <w:sz w:val="24"/>
          <w:szCs w:val="24"/>
        </w:rPr>
        <w:t>CONSTITUIÇÃO E JUSTIÇA E DE CIDADAN</w:t>
      </w:r>
      <w:r>
        <w:rPr>
          <w:sz w:val="24"/>
          <w:szCs w:val="24"/>
        </w:rPr>
        <w:t xml:space="preserve">IA pronunciar acerca da admissibilidade de proposta de emenda à Constituição. </w:t>
      </w:r>
    </w:p>
    <w:p w:rsidR="00221DFA" w:rsidRDefault="00221DFA" w:rsidP="00221DFA">
      <w:pPr>
        <w:spacing w:after="0" w:line="360" w:lineRule="auto"/>
        <w:ind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Inicialmente, antes de adentramos no exame de admissibilidade do Projeto de Emenda à Constituição, é importante conceituar e distinguir os institutos aqui tratados, quais sejam, o plebiscito e referendo, vide art. 14, I e II, da Constituição da República. </w:t>
      </w:r>
    </w:p>
    <w:p w:rsidR="00221DFA" w:rsidRDefault="00221DFA" w:rsidP="00221DFA">
      <w:pPr>
        <w:spacing w:after="0" w:line="360" w:lineRule="auto"/>
        <w:ind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Os institutos jurídicos acima </w:t>
      </w:r>
      <w:r w:rsidRPr="00FF1C3A">
        <w:rPr>
          <w:sz w:val="24"/>
          <w:szCs w:val="24"/>
        </w:rPr>
        <w:t xml:space="preserve">são </w:t>
      </w:r>
      <w:r>
        <w:rPr>
          <w:sz w:val="24"/>
          <w:szCs w:val="24"/>
        </w:rPr>
        <w:t xml:space="preserve">tipos de </w:t>
      </w:r>
      <w:r w:rsidRPr="00FF1C3A">
        <w:rPr>
          <w:sz w:val="24"/>
          <w:szCs w:val="24"/>
        </w:rPr>
        <w:t>consultas formuladas ao povo para que</w:t>
      </w:r>
      <w:r>
        <w:rPr>
          <w:sz w:val="24"/>
          <w:szCs w:val="24"/>
        </w:rPr>
        <w:t xml:space="preserve"> estes</w:t>
      </w:r>
      <w:r w:rsidRPr="00FF1C3A">
        <w:rPr>
          <w:sz w:val="24"/>
          <w:szCs w:val="24"/>
        </w:rPr>
        <w:t xml:space="preserve"> deli</w:t>
      </w:r>
      <w:r>
        <w:rPr>
          <w:sz w:val="24"/>
          <w:szCs w:val="24"/>
        </w:rPr>
        <w:t xml:space="preserve">berem sobre assuntos políticos ou institucionais de acentuada </w:t>
      </w:r>
      <w:r w:rsidRPr="00FF1C3A">
        <w:rPr>
          <w:sz w:val="24"/>
          <w:szCs w:val="24"/>
        </w:rPr>
        <w:t>relevância</w:t>
      </w:r>
      <w:r>
        <w:rPr>
          <w:sz w:val="24"/>
          <w:szCs w:val="24"/>
        </w:rPr>
        <w:t xml:space="preserve"> nacional</w:t>
      </w:r>
      <w:r w:rsidRPr="00FF1C3A">
        <w:rPr>
          <w:sz w:val="24"/>
          <w:szCs w:val="24"/>
        </w:rPr>
        <w:t>, de natureza constitucional,</w:t>
      </w:r>
      <w:r>
        <w:rPr>
          <w:sz w:val="24"/>
          <w:szCs w:val="24"/>
        </w:rPr>
        <w:t xml:space="preserve"> legislativa ou administrativa, conforme o art. 2º, </w:t>
      </w:r>
      <w:r w:rsidRPr="00A45165">
        <w:rPr>
          <w:i/>
          <w:sz w:val="24"/>
          <w:szCs w:val="24"/>
        </w:rPr>
        <w:t>caput</w:t>
      </w:r>
      <w:r>
        <w:rPr>
          <w:sz w:val="24"/>
          <w:szCs w:val="24"/>
        </w:rPr>
        <w:t xml:space="preserve">, da Lei nº 9.709/98, que regulamenta a execução do plebiscito, do referendo e da iniciativa popular previstos no art. 14, I, II, e III, da Constituição da República. </w:t>
      </w:r>
    </w:p>
    <w:p w:rsidR="00221DFA" w:rsidRDefault="00221DFA" w:rsidP="00221DFA">
      <w:pPr>
        <w:spacing w:after="0" w:line="360" w:lineRule="auto"/>
        <w:ind w:firstLine="1134"/>
        <w:jc w:val="both"/>
        <w:rPr>
          <w:b/>
          <w:sz w:val="24"/>
          <w:szCs w:val="24"/>
        </w:rPr>
      </w:pPr>
      <w:r w:rsidRPr="00554201">
        <w:rPr>
          <w:sz w:val="24"/>
          <w:szCs w:val="24"/>
        </w:rPr>
        <w:t>A principal distinção entre eles é a de que o plebiscito é convocado previamente à criação do ato legislativo ou administrativo que trate do assunto em pauta, e o referendo é convocado posteriormente, cabendo ao povo ratificar ou rejeitar a proposta.</w:t>
      </w:r>
    </w:p>
    <w:p w:rsidR="00221DFA" w:rsidRDefault="00221DFA" w:rsidP="00221DFA">
      <w:pPr>
        <w:spacing w:after="0" w:line="360" w:lineRule="auto"/>
        <w:ind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>Desse modo, temos, que o</w:t>
      </w:r>
      <w:r w:rsidRPr="00FF1C3A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FF1C3A">
        <w:rPr>
          <w:sz w:val="24"/>
          <w:szCs w:val="24"/>
        </w:rPr>
        <w:t>plebiscito é convocado com anterioridade a ato legislativo ou administrativo, cabendo ao povo, pelo voto,</w:t>
      </w:r>
      <w:r>
        <w:rPr>
          <w:sz w:val="24"/>
          <w:szCs w:val="24"/>
        </w:rPr>
        <w:t xml:space="preserve"> </w:t>
      </w:r>
      <w:r w:rsidRPr="00FF1C3A">
        <w:rPr>
          <w:sz w:val="24"/>
          <w:szCs w:val="24"/>
        </w:rPr>
        <w:t>aprovar ou denegar</w:t>
      </w:r>
      <w:r>
        <w:rPr>
          <w:sz w:val="24"/>
          <w:szCs w:val="24"/>
        </w:rPr>
        <w:t xml:space="preserve"> o que lhe tenha sido submetido” – art. 2º, § 1º, da Lei nº 9.709/98. Desse modo, </w:t>
      </w:r>
      <w:r w:rsidRPr="00D67186">
        <w:rPr>
          <w:sz w:val="24"/>
          <w:szCs w:val="24"/>
        </w:rPr>
        <w:t>sua consulta</w:t>
      </w:r>
      <w:r>
        <w:rPr>
          <w:sz w:val="24"/>
          <w:szCs w:val="24"/>
        </w:rPr>
        <w:t xml:space="preserve"> versa sobre assuntos que, posteriormente, serão discutidos pelo Congresso Nacional ou pelo Poder Executivo. Por exemplo, um plebiscito para saber se o povo quer ou não, uma nova Constituição para o país.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Já o</w:t>
      </w:r>
      <w:r w:rsidRPr="00FF1C3A">
        <w:rPr>
          <w:sz w:val="24"/>
          <w:szCs w:val="24"/>
        </w:rPr>
        <w:t xml:space="preserve"> referendo é </w:t>
      </w:r>
      <w:r>
        <w:rPr>
          <w:sz w:val="24"/>
          <w:szCs w:val="24"/>
        </w:rPr>
        <w:t>“</w:t>
      </w:r>
      <w:r w:rsidRPr="00FF1C3A">
        <w:rPr>
          <w:sz w:val="24"/>
          <w:szCs w:val="24"/>
        </w:rPr>
        <w:t>convocado com posterioridade a ato legislativo ou admi</w:t>
      </w:r>
      <w:r>
        <w:rPr>
          <w:sz w:val="24"/>
          <w:szCs w:val="24"/>
        </w:rPr>
        <w:t xml:space="preserve">nistrativo, cumprindo ao povo a </w:t>
      </w:r>
      <w:r w:rsidRPr="00FF1C3A">
        <w:rPr>
          <w:sz w:val="24"/>
          <w:szCs w:val="24"/>
        </w:rPr>
        <w:t>res</w:t>
      </w:r>
      <w:r>
        <w:rPr>
          <w:sz w:val="24"/>
          <w:szCs w:val="24"/>
        </w:rPr>
        <w:t>pectiva ratificação ou rejeição” art. 2º, § 2º, da Lei nº 9.709/98. Por exemplo, o referendo sobre o desarmamento, previsto pela Lei nº 10.826/2003 – Estatuto do Desarmamento (§1º do art. 35), realizado em 23/10/2005, quando a população brasileira optou pela não proibição da comercialização de arma de fogo.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Além disso, ressalta-se, que tanto n</w:t>
      </w:r>
      <w:r w:rsidRPr="00D11010">
        <w:rPr>
          <w:sz w:val="24"/>
          <w:szCs w:val="24"/>
        </w:rPr>
        <w:t>as questões de relevância nacional, de competência do Poder Legislat</w:t>
      </w:r>
      <w:r>
        <w:rPr>
          <w:sz w:val="24"/>
          <w:szCs w:val="24"/>
        </w:rPr>
        <w:t>ivo ou do Poder Executivo, quanto nos casos de incorporação, subdivisão ou desmembramento dos Estados, do art. 18, § 3º da CRFB</w:t>
      </w:r>
      <w:r w:rsidRPr="00D11010">
        <w:rPr>
          <w:sz w:val="24"/>
          <w:szCs w:val="24"/>
        </w:rPr>
        <w:t>, o plebiscito e o referendo são convocados mediante decreto</w:t>
      </w:r>
      <w:r>
        <w:rPr>
          <w:sz w:val="24"/>
          <w:szCs w:val="24"/>
        </w:rPr>
        <w:t xml:space="preserve"> </w:t>
      </w:r>
      <w:r w:rsidRPr="00D11010">
        <w:rPr>
          <w:sz w:val="24"/>
          <w:szCs w:val="24"/>
        </w:rPr>
        <w:t>legislativo, por proposta de um terço, no mínimo, dos membros que compõem qualquer das Casas do Congresso</w:t>
      </w:r>
      <w:r>
        <w:rPr>
          <w:sz w:val="24"/>
          <w:szCs w:val="24"/>
        </w:rPr>
        <w:t xml:space="preserve"> Nacional. </w:t>
      </w:r>
      <w:r w:rsidRPr="00554201">
        <w:rPr>
          <w:sz w:val="24"/>
          <w:szCs w:val="24"/>
        </w:rPr>
        <w:t>Nas demai</w:t>
      </w:r>
      <w:r>
        <w:rPr>
          <w:sz w:val="24"/>
          <w:szCs w:val="24"/>
        </w:rPr>
        <w:t>s questões, de competência dos E</w:t>
      </w:r>
      <w:r w:rsidRPr="00554201">
        <w:rPr>
          <w:sz w:val="24"/>
          <w:szCs w:val="24"/>
        </w:rPr>
        <w:t>sta</w:t>
      </w:r>
      <w:r>
        <w:rPr>
          <w:sz w:val="24"/>
          <w:szCs w:val="24"/>
        </w:rPr>
        <w:t>dos, do Distrito Federal e dos M</w:t>
      </w:r>
      <w:r w:rsidRPr="00554201">
        <w:rPr>
          <w:sz w:val="24"/>
          <w:szCs w:val="24"/>
        </w:rPr>
        <w:t>unicípi</w:t>
      </w:r>
      <w:r>
        <w:rPr>
          <w:sz w:val="24"/>
          <w:szCs w:val="24"/>
        </w:rPr>
        <w:t>os, o plebiscito e o referendo são</w:t>
      </w:r>
      <w:r w:rsidRPr="00554201">
        <w:rPr>
          <w:sz w:val="24"/>
          <w:szCs w:val="24"/>
        </w:rPr>
        <w:t xml:space="preserve"> convocados em conformidade, respe</w:t>
      </w:r>
      <w:r>
        <w:rPr>
          <w:sz w:val="24"/>
          <w:szCs w:val="24"/>
        </w:rPr>
        <w:t>ctivamente, com a Constituição E</w:t>
      </w:r>
      <w:r w:rsidRPr="00554201">
        <w:rPr>
          <w:sz w:val="24"/>
          <w:szCs w:val="24"/>
        </w:rPr>
        <w:t>stadual e com a Lei Orgânica.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Destaca-se, também, que a</w:t>
      </w:r>
      <w:r w:rsidRPr="00D11010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D11010">
        <w:rPr>
          <w:sz w:val="24"/>
          <w:szCs w:val="24"/>
        </w:rPr>
        <w:t>incorporação de Estados entre si, subdivisão ou desmembrament</w:t>
      </w:r>
      <w:r>
        <w:rPr>
          <w:sz w:val="24"/>
          <w:szCs w:val="24"/>
        </w:rPr>
        <w:t xml:space="preserve">o para se anexarem a outros, ou </w:t>
      </w:r>
      <w:r w:rsidRPr="00D11010">
        <w:rPr>
          <w:sz w:val="24"/>
          <w:szCs w:val="24"/>
        </w:rPr>
        <w:t>formarem novos Estados ou Territórios Federais, dependem da aprovação da populaç</w:t>
      </w:r>
      <w:r>
        <w:rPr>
          <w:sz w:val="24"/>
          <w:szCs w:val="24"/>
        </w:rPr>
        <w:t xml:space="preserve">ão diretamente interessada, por </w:t>
      </w:r>
      <w:r w:rsidRPr="00D11010">
        <w:rPr>
          <w:sz w:val="24"/>
          <w:szCs w:val="24"/>
        </w:rPr>
        <w:t>meio de plebiscito realizado na mesma data e horário em cada um dos Estados, e</w:t>
      </w:r>
      <w:r>
        <w:rPr>
          <w:sz w:val="24"/>
          <w:szCs w:val="24"/>
        </w:rPr>
        <w:t xml:space="preserve"> do Congresso Nacional, por lei </w:t>
      </w:r>
      <w:r w:rsidRPr="00D11010">
        <w:rPr>
          <w:sz w:val="24"/>
          <w:szCs w:val="24"/>
        </w:rPr>
        <w:t>complementar, ouvidas as respectivas Assembléias Legislativas</w:t>
      </w:r>
      <w:r>
        <w:rPr>
          <w:sz w:val="24"/>
          <w:szCs w:val="24"/>
        </w:rPr>
        <w:t>” – art. 4º, da Lei nº 9.709/98</w:t>
      </w:r>
      <w:r w:rsidRPr="00D11010">
        <w:rPr>
          <w:sz w:val="24"/>
          <w:szCs w:val="24"/>
        </w:rPr>
        <w:t>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Registra-se, ainda, que a Lei nº 9.709/98 dispõe de mecanismos para garantir que, após aprovado o ato convocatório, o </w:t>
      </w:r>
      <w:r w:rsidRPr="00BE44A3">
        <w:rPr>
          <w:sz w:val="24"/>
          <w:szCs w:val="24"/>
        </w:rPr>
        <w:t xml:space="preserve">Presidente do Congresso Nacional </w:t>
      </w:r>
      <w:r>
        <w:rPr>
          <w:sz w:val="24"/>
          <w:szCs w:val="24"/>
        </w:rPr>
        <w:t xml:space="preserve">possa dar ciência à Justiça Eleitoral, ente incumbido de fixar a data da consulta a ser realizada, bem como </w:t>
      </w:r>
      <w:r w:rsidRPr="00BE44A3">
        <w:rPr>
          <w:sz w:val="24"/>
          <w:szCs w:val="24"/>
        </w:rPr>
        <w:t>expedir instruções para a realização do plebiscito ou referendo</w:t>
      </w:r>
      <w:r>
        <w:rPr>
          <w:sz w:val="24"/>
          <w:szCs w:val="24"/>
        </w:rPr>
        <w:t xml:space="preserve">, entre outros. 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fim, avulta-se nesse sentido, que a Justiça Eleitoral, por meio da </w:t>
      </w:r>
      <w:r w:rsidRPr="00554201">
        <w:rPr>
          <w:sz w:val="24"/>
          <w:szCs w:val="24"/>
        </w:rPr>
        <w:t>Resolução nº 23.385, de 16 de agosto de 2012</w:t>
      </w:r>
      <w:r>
        <w:rPr>
          <w:sz w:val="24"/>
          <w:szCs w:val="24"/>
        </w:rPr>
        <w:t xml:space="preserve"> do Tribunal Superior Eleitoral – TSE, e</w:t>
      </w:r>
      <w:r w:rsidRPr="00E04A78">
        <w:rPr>
          <w:sz w:val="24"/>
          <w:szCs w:val="24"/>
        </w:rPr>
        <w:t>stabelece diretri</w:t>
      </w:r>
      <w:r>
        <w:rPr>
          <w:sz w:val="24"/>
          <w:szCs w:val="24"/>
        </w:rPr>
        <w:t xml:space="preserve">zes gerais para a realização de </w:t>
      </w:r>
      <w:r w:rsidRPr="00E04A78">
        <w:rPr>
          <w:sz w:val="24"/>
          <w:szCs w:val="24"/>
        </w:rPr>
        <w:t>consultas popu</w:t>
      </w:r>
      <w:r>
        <w:rPr>
          <w:sz w:val="24"/>
          <w:szCs w:val="24"/>
        </w:rPr>
        <w:t xml:space="preserve">lares concomitante com eleições </w:t>
      </w:r>
      <w:r w:rsidRPr="00E04A78">
        <w:rPr>
          <w:sz w:val="24"/>
          <w:szCs w:val="24"/>
        </w:rPr>
        <w:t>ordinárias</w:t>
      </w:r>
      <w:r>
        <w:rPr>
          <w:sz w:val="24"/>
          <w:szCs w:val="24"/>
        </w:rPr>
        <w:t>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Já em segundo momento, quanto ao exame de admissibilidade –  aspectos preliminares de fundo –, verifica-se que a Proposta de Emenda à Constituição preenche os critérios da juridicidade em sentido amplo (</w:t>
      </w:r>
      <w:r w:rsidRPr="00AF7AB1">
        <w:rPr>
          <w:i/>
          <w:sz w:val="24"/>
          <w:szCs w:val="24"/>
        </w:rPr>
        <w:t>lato sensu</w:t>
      </w:r>
      <w:r>
        <w:rPr>
          <w:sz w:val="24"/>
          <w:szCs w:val="24"/>
        </w:rPr>
        <w:t xml:space="preserve">), qual seja, a conformidade com a Constituição da República (constitucionalidade) e a consonância com o Regimento </w:t>
      </w:r>
      <w:r w:rsidRPr="007F6CF2">
        <w:rPr>
          <w:sz w:val="24"/>
          <w:szCs w:val="24"/>
        </w:rPr>
        <w:t xml:space="preserve">Interno da Câmara dos Deputados </w:t>
      </w:r>
      <w:r>
        <w:rPr>
          <w:sz w:val="24"/>
          <w:szCs w:val="24"/>
        </w:rPr>
        <w:t>–</w:t>
      </w:r>
      <w:r w:rsidRPr="007F6CF2">
        <w:rPr>
          <w:sz w:val="24"/>
          <w:szCs w:val="24"/>
        </w:rPr>
        <w:t xml:space="preserve"> RICD</w:t>
      </w:r>
      <w:r>
        <w:rPr>
          <w:sz w:val="24"/>
          <w:szCs w:val="24"/>
        </w:rPr>
        <w:t xml:space="preserve"> (regimentalidade), haja vista que: (i) a PEC nº 330/2017 atende, quanto ao aspecto formal, os requisitos do art. 60, § 4º, da CRFB, ou seja, suas disposições não estão propensas a abolir a forma federativa de Estado, </w:t>
      </w:r>
      <w:r w:rsidRPr="004037E8">
        <w:rPr>
          <w:sz w:val="24"/>
          <w:szCs w:val="24"/>
        </w:rPr>
        <w:t>o voto direto,</w:t>
      </w:r>
      <w:r>
        <w:rPr>
          <w:sz w:val="24"/>
          <w:szCs w:val="24"/>
        </w:rPr>
        <w:t xml:space="preserve"> secreto, universal e periódico, a separação dos Poderes, tampouco </w:t>
      </w:r>
      <w:r w:rsidRPr="004037E8">
        <w:rPr>
          <w:sz w:val="24"/>
          <w:szCs w:val="24"/>
        </w:rPr>
        <w:lastRenderedPageBreak/>
        <w:t>os d</w:t>
      </w:r>
      <w:r>
        <w:rPr>
          <w:sz w:val="24"/>
          <w:szCs w:val="24"/>
        </w:rPr>
        <w:t xml:space="preserve">ireitos e garantias individuais; (ii) a referida proposição teve a subscrição mínima, de um terço do total de membros da Casa, nos termos do art. 60, I, da CRFB, na qual foram obtidas 179 assinaturas válidas; e (iii) a matéria aqui tratada </w:t>
      </w:r>
      <w:r w:rsidRPr="004037E8">
        <w:rPr>
          <w:sz w:val="24"/>
          <w:szCs w:val="24"/>
        </w:rPr>
        <w:t xml:space="preserve">não foi objeto de nenhuma outra que tenha sido rejeitada ou tida por prejudicada na presente sessão legislativa, </w:t>
      </w:r>
      <w:r>
        <w:rPr>
          <w:sz w:val="24"/>
          <w:szCs w:val="24"/>
        </w:rPr>
        <w:t xml:space="preserve">nos termos do requisitos do art. 60, § 5º, da CRFB. 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No entanto, ao se verificar a constitucionalidade da proposição em análise, em sua dimensão material, tem-se que a proposição em análise:  (i) carece de harmonia com o princípio da razoabilidade, pois a norma constitucional que confere eficácia aos institutos aqui tratados em que pese seja limitada e de aplicabilidade mediata possui regulamentação própria para ser aplicada ao caso concreto, qual seja, a Lei nº 9.709/98, a qual r</w:t>
      </w:r>
      <w:r w:rsidRPr="00322BBC">
        <w:rPr>
          <w:sz w:val="24"/>
          <w:szCs w:val="24"/>
        </w:rPr>
        <w:t xml:space="preserve">egulamenta a execução do disposto nos incisos I, II e III do </w:t>
      </w:r>
      <w:r>
        <w:rPr>
          <w:sz w:val="24"/>
          <w:szCs w:val="24"/>
        </w:rPr>
        <w:t xml:space="preserve">art. 14 da Constituição Federal, bem como ao princípio a máxima efetividade, por não conceder a maior eficácia possível aos referidos institutos, ou seja, ser realizados concomitante ou não com as eleições ordinárias a depender do exame conveniência e oportunidade no caso concreto; (ii) colide, ao nosso ver, com a vontade do constituinte originário de não especificar em qual momento deveria ocorrer o plebiscito e o referendo ao editar a Carta de 1988, para que, nos termos de convocação destes institutos, seja dado ao povo o direito de </w:t>
      </w:r>
      <w:r w:rsidRPr="00161269">
        <w:rPr>
          <w:sz w:val="24"/>
          <w:szCs w:val="24"/>
        </w:rPr>
        <w:t>decidir sobre</w:t>
      </w:r>
      <w:r>
        <w:rPr>
          <w:sz w:val="24"/>
          <w:szCs w:val="24"/>
        </w:rPr>
        <w:t xml:space="preserve"> as</w:t>
      </w:r>
      <w:r w:rsidRPr="00161269">
        <w:rPr>
          <w:sz w:val="24"/>
          <w:szCs w:val="24"/>
        </w:rPr>
        <w:t xml:space="preserve"> matéria</w:t>
      </w:r>
      <w:r>
        <w:rPr>
          <w:sz w:val="24"/>
          <w:szCs w:val="24"/>
        </w:rPr>
        <w:t>s</w:t>
      </w:r>
      <w:r w:rsidRPr="00161269">
        <w:rPr>
          <w:sz w:val="24"/>
          <w:szCs w:val="24"/>
        </w:rPr>
        <w:t xml:space="preserve"> de relevância</w:t>
      </w:r>
      <w:r>
        <w:rPr>
          <w:sz w:val="24"/>
          <w:szCs w:val="24"/>
        </w:rPr>
        <w:t>s</w:t>
      </w:r>
      <w:r w:rsidRPr="00161269">
        <w:rPr>
          <w:sz w:val="24"/>
          <w:szCs w:val="24"/>
        </w:rPr>
        <w:t xml:space="preserve"> para a nação</w:t>
      </w:r>
      <w:r>
        <w:rPr>
          <w:sz w:val="24"/>
          <w:szCs w:val="24"/>
        </w:rPr>
        <w:t xml:space="preserve"> neles consultados; (iii) poderá causar, no caso concreto, possíveis transtornos, inclusive políticos, no momento da incorporação, subdivisão e/ou desmembramento dispostos no art. 18, § 3º e § 4º, da Constituição da República.</w:t>
      </w:r>
    </w:p>
    <w:p w:rsidR="00221DFA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Ademais, ao analisar a matéria, sob os critérios da juridicidade em sentido estrito (</w:t>
      </w:r>
      <w:r w:rsidRPr="00322BBC">
        <w:rPr>
          <w:i/>
          <w:sz w:val="24"/>
          <w:szCs w:val="24"/>
        </w:rPr>
        <w:t>stricto sensu</w:t>
      </w:r>
      <w:r>
        <w:rPr>
          <w:sz w:val="24"/>
          <w:szCs w:val="24"/>
        </w:rPr>
        <w:t>), quanto aos atributos da norma legal, à legalidade, à conformidade aos princípios jurídicos e também à técnica legislativa, temos que: (i)  a PEC nº 330/2017 não atende ao atributo da novidade, ou seja, não inova no ordenamento jurídico por ser um projeto de emenda à constituição que veicula comando idêntico a outra norma e/ou conjuntos de normas, desse modo, tendo em vista que já existe regra positiva sobre o assunto (</w:t>
      </w:r>
      <w:r w:rsidR="00776D70">
        <w:rPr>
          <w:sz w:val="24"/>
          <w:szCs w:val="24"/>
        </w:rPr>
        <w:t xml:space="preserve">a </w:t>
      </w:r>
      <w:r>
        <w:rPr>
          <w:sz w:val="24"/>
          <w:szCs w:val="24"/>
        </w:rPr>
        <w:t>Lei nº 9.709/98</w:t>
      </w:r>
      <w:r w:rsidR="00776D70">
        <w:rPr>
          <w:sz w:val="24"/>
          <w:szCs w:val="24"/>
        </w:rPr>
        <w:t>, a qual r</w:t>
      </w:r>
      <w:r w:rsidR="00776D70" w:rsidRPr="00776D70">
        <w:rPr>
          <w:sz w:val="24"/>
          <w:szCs w:val="24"/>
        </w:rPr>
        <w:t xml:space="preserve">egulamenta a execução do disposto nos incisos I, II e III do </w:t>
      </w:r>
      <w:r w:rsidR="00776D70">
        <w:rPr>
          <w:sz w:val="24"/>
          <w:szCs w:val="24"/>
        </w:rPr>
        <w:t>art. 14 da Constituição Federal,</w:t>
      </w:r>
      <w:r>
        <w:rPr>
          <w:sz w:val="24"/>
          <w:szCs w:val="24"/>
        </w:rPr>
        <w:t xml:space="preserve"> e </w:t>
      </w:r>
      <w:r w:rsidR="00776D70">
        <w:rPr>
          <w:sz w:val="24"/>
          <w:szCs w:val="24"/>
        </w:rPr>
        <w:t xml:space="preserve">a </w:t>
      </w:r>
      <w:r w:rsidRPr="00554201">
        <w:rPr>
          <w:sz w:val="24"/>
          <w:szCs w:val="24"/>
        </w:rPr>
        <w:t>Resolução nº 23.385, de 16 de agosto de 2012</w:t>
      </w:r>
      <w:r>
        <w:rPr>
          <w:sz w:val="24"/>
          <w:szCs w:val="24"/>
        </w:rPr>
        <w:t xml:space="preserve"> do Tribunal Superior Eleitoral – TSE</w:t>
      </w:r>
      <w:r w:rsidR="00776D70">
        <w:rPr>
          <w:sz w:val="24"/>
          <w:szCs w:val="24"/>
        </w:rPr>
        <w:t>, a qual e</w:t>
      </w:r>
      <w:r w:rsidR="00776D70" w:rsidRPr="00776D70">
        <w:rPr>
          <w:sz w:val="24"/>
          <w:szCs w:val="24"/>
        </w:rPr>
        <w:t>stabelece diretrizes gerais para a realização de consultas populares concomitante com eleições ordinárias</w:t>
      </w:r>
      <w:r w:rsidR="00776D70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 edição de nova norma </w:t>
      </w:r>
      <w:r>
        <w:rPr>
          <w:sz w:val="24"/>
          <w:szCs w:val="24"/>
        </w:rPr>
        <w:lastRenderedPageBreak/>
        <w:t xml:space="preserve">jurídica, no nosso entendimento, é desnecessária, por não inovar o ordenamento jurídico; (ii) a juridicidade de uma proposição deve ocorrer não só à lei (lei em sentido amplo, Constituição, Regimento Interno e demais espécies normativas), mas também aos princípios do direito, como referido no parágrafo acima, princípios que devem ser entendidos também como normas, no caso em análise, o princípio da razoabilidade; e (iii) quanto a técnica legislativa a proposição em análise deve observar não só os requisitos da LC nº 95/2001, mas também outros critérios na momento de sua elaboração, tais como a organicidade ao sistema jurídico – ou seja, sistematização, coerência e unicidade –, de modo a evitar que haja normas contraditórias e ilógicas em relação à outras normas do ordenamento, além do uso inadequado da espécie legislativa, haja vista que a mesma poderia ser atingida por meio da aprovação de uma espécie normativa ordinária, o que já a torna a referida emenda desnecessária e injurídica. Ressaltando-se, por fim, que uma vez aprovada a matéria aqui discutida, via emenda constitucional, ela só poderia ser novamente alterada por nova emenda, processo de maior dificuldade e complexidade frente aos demais. </w:t>
      </w:r>
    </w:p>
    <w:p w:rsidR="00221DFA" w:rsidRPr="001A7831" w:rsidRDefault="00221DFA" w:rsidP="00221DFA">
      <w:pPr>
        <w:spacing w:after="0"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Por todo o exposto</w:t>
      </w:r>
      <w:r w:rsidRPr="00FB3042">
        <w:rPr>
          <w:sz w:val="24"/>
          <w:szCs w:val="24"/>
        </w:rPr>
        <w:t xml:space="preserve">, quanto a admissibilidade, nosso voto é pela REJEIÇÃO </w:t>
      </w:r>
      <w:r>
        <w:rPr>
          <w:sz w:val="24"/>
          <w:szCs w:val="24"/>
        </w:rPr>
        <w:t xml:space="preserve">da </w:t>
      </w:r>
      <w:r w:rsidRPr="009A2798">
        <w:rPr>
          <w:sz w:val="24"/>
          <w:szCs w:val="24"/>
        </w:rPr>
        <w:t>Proposta de Emenda à Constituição nº</w:t>
      </w:r>
      <w:r w:rsidR="000B4EF1">
        <w:rPr>
          <w:sz w:val="24"/>
          <w:szCs w:val="24"/>
        </w:rPr>
        <w:t xml:space="preserve"> 330 de</w:t>
      </w:r>
      <w:r>
        <w:rPr>
          <w:sz w:val="24"/>
          <w:szCs w:val="24"/>
        </w:rPr>
        <w:t xml:space="preserve"> 2017.</w:t>
      </w:r>
      <w:r>
        <w:rPr>
          <w:sz w:val="24"/>
          <w:szCs w:val="24"/>
          <w:highlight w:val="yellow"/>
        </w:rPr>
        <w:t xml:space="preserve"> </w:t>
      </w:r>
    </w:p>
    <w:p w:rsidR="006A6E37" w:rsidRPr="00AB074E" w:rsidRDefault="006A6E37" w:rsidP="006A6E37">
      <w:pPr>
        <w:spacing w:before="240" w:line="360" w:lineRule="auto"/>
        <w:ind w:firstLine="708"/>
        <w:jc w:val="center"/>
        <w:rPr>
          <w:sz w:val="24"/>
          <w:szCs w:val="24"/>
        </w:rPr>
      </w:pPr>
      <w:r w:rsidRPr="00AB074E">
        <w:rPr>
          <w:sz w:val="24"/>
          <w:szCs w:val="24"/>
        </w:rPr>
        <w:t>Sala da Comissão, em</w:t>
      </w:r>
      <w:r w:rsidRPr="00AC7F09">
        <w:rPr>
          <w:sz w:val="24"/>
          <w:szCs w:val="24"/>
        </w:rPr>
        <w:t xml:space="preserve"> [dia] de [mês] de 20[__]</w:t>
      </w:r>
      <w:r>
        <w:rPr>
          <w:sz w:val="24"/>
          <w:szCs w:val="24"/>
        </w:rPr>
        <w:t>.</w:t>
      </w:r>
    </w:p>
    <w:p w:rsidR="006A6E37" w:rsidRPr="00C65F68" w:rsidRDefault="006A6E37" w:rsidP="006A6E37">
      <w:pPr>
        <w:spacing w:after="0" w:line="360" w:lineRule="auto"/>
        <w:ind w:firstLine="708"/>
        <w:jc w:val="center"/>
        <w:rPr>
          <w:sz w:val="24"/>
          <w:szCs w:val="24"/>
        </w:rPr>
      </w:pPr>
      <w:r w:rsidRPr="00C65F68">
        <w:rPr>
          <w:sz w:val="24"/>
          <w:szCs w:val="24"/>
        </w:rPr>
        <w:t xml:space="preserve">Deputado </w:t>
      </w:r>
      <w:r w:rsidRPr="00E25531">
        <w:rPr>
          <w:b/>
          <w:sz w:val="24"/>
          <w:szCs w:val="24"/>
        </w:rPr>
        <w:t>NOME DO PARLAMENTAR</w:t>
      </w:r>
    </w:p>
    <w:p w:rsidR="006A6E37" w:rsidRPr="00C65F68" w:rsidRDefault="006A6E37" w:rsidP="006A6E37">
      <w:pPr>
        <w:spacing w:line="360" w:lineRule="auto"/>
        <w:ind w:firstLine="708"/>
        <w:jc w:val="center"/>
        <w:rPr>
          <w:sz w:val="24"/>
          <w:szCs w:val="24"/>
        </w:rPr>
      </w:pPr>
      <w:r w:rsidRPr="00C65F68">
        <w:rPr>
          <w:sz w:val="24"/>
          <w:szCs w:val="24"/>
        </w:rPr>
        <w:t>Relator</w:t>
      </w:r>
    </w:p>
    <w:p w:rsidR="00221DFA" w:rsidRDefault="00221DFA" w:rsidP="00221DFA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221DFA" w:rsidRDefault="00221DFA" w:rsidP="00221DFA">
      <w:pPr>
        <w:spacing w:line="360" w:lineRule="auto"/>
        <w:jc w:val="both"/>
        <w:rPr>
          <w:sz w:val="24"/>
          <w:szCs w:val="24"/>
        </w:rPr>
      </w:pPr>
    </w:p>
    <w:p w:rsidR="00221DFA" w:rsidRDefault="00221DFA" w:rsidP="00221DFA">
      <w:pPr>
        <w:spacing w:line="360" w:lineRule="auto"/>
        <w:jc w:val="both"/>
        <w:rPr>
          <w:sz w:val="24"/>
          <w:szCs w:val="24"/>
        </w:rPr>
      </w:pPr>
    </w:p>
    <w:p w:rsidR="00221DFA" w:rsidRDefault="00221DFA" w:rsidP="00221DFA">
      <w:pPr>
        <w:spacing w:line="360" w:lineRule="auto"/>
        <w:jc w:val="both"/>
        <w:rPr>
          <w:sz w:val="24"/>
          <w:szCs w:val="24"/>
        </w:rPr>
      </w:pPr>
    </w:p>
    <w:p w:rsidR="00221DFA" w:rsidRDefault="00221DFA" w:rsidP="00221DFA">
      <w:pPr>
        <w:spacing w:line="360" w:lineRule="auto"/>
        <w:jc w:val="both"/>
        <w:rPr>
          <w:sz w:val="24"/>
          <w:szCs w:val="24"/>
        </w:rPr>
      </w:pPr>
    </w:p>
    <w:p w:rsidR="00221DFA" w:rsidRDefault="00221DFA" w:rsidP="00221DFA">
      <w:pPr>
        <w:spacing w:line="360" w:lineRule="auto"/>
        <w:jc w:val="both"/>
        <w:rPr>
          <w:sz w:val="24"/>
          <w:szCs w:val="24"/>
        </w:rPr>
      </w:pPr>
    </w:p>
    <w:p w:rsidR="00DF0A84" w:rsidRDefault="00DF0A84" w:rsidP="001E1C1D">
      <w:pPr>
        <w:tabs>
          <w:tab w:val="left" w:pos="3400"/>
        </w:tabs>
      </w:pPr>
    </w:p>
    <w:sectPr w:rsidR="00DF0A84" w:rsidSect="00A95018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B50" w:rsidRDefault="00ED7B50">
      <w:pPr>
        <w:spacing w:after="0" w:line="240" w:lineRule="auto"/>
      </w:pPr>
      <w:r>
        <w:separator/>
      </w:r>
    </w:p>
  </w:endnote>
  <w:endnote w:type="continuationSeparator" w:id="0">
    <w:p w:rsidR="00ED7B50" w:rsidRDefault="00ED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B50" w:rsidRDefault="00ED7B50">
      <w:pPr>
        <w:spacing w:after="0" w:line="240" w:lineRule="auto"/>
      </w:pPr>
      <w:r>
        <w:separator/>
      </w:r>
    </w:p>
  </w:footnote>
  <w:footnote w:type="continuationSeparator" w:id="0">
    <w:p w:rsidR="00ED7B50" w:rsidRDefault="00ED7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FA"/>
    <w:rsid w:val="000B4EF1"/>
    <w:rsid w:val="00123B36"/>
    <w:rsid w:val="001547AD"/>
    <w:rsid w:val="001E1C1D"/>
    <w:rsid w:val="001F4D9E"/>
    <w:rsid w:val="00221DFA"/>
    <w:rsid w:val="002272C1"/>
    <w:rsid w:val="002A1A62"/>
    <w:rsid w:val="002C09AE"/>
    <w:rsid w:val="003849D2"/>
    <w:rsid w:val="003975CB"/>
    <w:rsid w:val="006A6E37"/>
    <w:rsid w:val="006C4B6B"/>
    <w:rsid w:val="00776D70"/>
    <w:rsid w:val="007B42CC"/>
    <w:rsid w:val="008135EC"/>
    <w:rsid w:val="008476E7"/>
    <w:rsid w:val="00983FB3"/>
    <w:rsid w:val="009E02C6"/>
    <w:rsid w:val="00A10414"/>
    <w:rsid w:val="00A83644"/>
    <w:rsid w:val="00A97DE7"/>
    <w:rsid w:val="00B23A2F"/>
    <w:rsid w:val="00B65FB1"/>
    <w:rsid w:val="00B9126F"/>
    <w:rsid w:val="00C13252"/>
    <w:rsid w:val="00D24588"/>
    <w:rsid w:val="00D73CDF"/>
    <w:rsid w:val="00D92677"/>
    <w:rsid w:val="00DF0A84"/>
    <w:rsid w:val="00EA6CB9"/>
    <w:rsid w:val="00ED7B50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D94ECB-0C25-4ABB-AB8F-287E2BF1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21D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2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1DFA"/>
  </w:style>
  <w:style w:type="paragraph" w:styleId="Rodap">
    <w:name w:val="footer"/>
    <w:basedOn w:val="Normal"/>
    <w:link w:val="RodapChar"/>
    <w:uiPriority w:val="99"/>
    <w:unhideWhenUsed/>
    <w:rsid w:val="00221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5</cp:revision>
  <cp:lastPrinted>2023-12-28T20:04:00Z</cp:lastPrinted>
  <dcterms:created xsi:type="dcterms:W3CDTF">2023-12-27T14:28:00Z</dcterms:created>
  <dcterms:modified xsi:type="dcterms:W3CDTF">2023-12-28T20:05:00Z</dcterms:modified>
</cp:coreProperties>
</file>