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E71" w:rsidRPr="00B35EE1" w:rsidRDefault="00A70E71" w:rsidP="00A70E71">
      <w:pPr>
        <w:spacing w:after="0" w:line="276" w:lineRule="auto"/>
        <w:jc w:val="both"/>
        <w:rPr>
          <w:b/>
          <w:bCs/>
        </w:rPr>
      </w:pPr>
      <w:r w:rsidRPr="00B35EE1">
        <w:rPr>
          <w:b/>
          <w:bCs/>
        </w:rPr>
        <w:t>Agravo em Recurso Especial (</w:t>
      </w:r>
      <w:proofErr w:type="spellStart"/>
      <w:r w:rsidRPr="00B35EE1">
        <w:rPr>
          <w:b/>
          <w:bCs/>
        </w:rPr>
        <w:t>AREsp</w:t>
      </w:r>
      <w:proofErr w:type="spellEnd"/>
      <w:r w:rsidRPr="00B35EE1">
        <w:rPr>
          <w:b/>
          <w:bCs/>
        </w:rPr>
        <w:t>) n</w:t>
      </w:r>
      <w:r>
        <w:rPr>
          <w:b/>
          <w:bCs/>
        </w:rPr>
        <w:t>º</w:t>
      </w:r>
      <w:r w:rsidRPr="00B35EE1">
        <w:rPr>
          <w:b/>
          <w:bCs/>
        </w:rPr>
        <w:t xml:space="preserve"> 1</w:t>
      </w:r>
      <w:r>
        <w:rPr>
          <w:b/>
          <w:bCs/>
        </w:rPr>
        <w:t>.</w:t>
      </w:r>
      <w:r w:rsidRPr="00B35EE1">
        <w:rPr>
          <w:b/>
          <w:bCs/>
        </w:rPr>
        <w:t>212</w:t>
      </w:r>
      <w:r>
        <w:rPr>
          <w:b/>
          <w:bCs/>
        </w:rPr>
        <w:t>.</w:t>
      </w:r>
      <w:r w:rsidRPr="00B35EE1">
        <w:rPr>
          <w:b/>
          <w:bCs/>
        </w:rPr>
        <w:t>274</w:t>
      </w:r>
    </w:p>
    <w:p w:rsidR="00A70E71" w:rsidRPr="00B35EE1" w:rsidRDefault="00A70E71" w:rsidP="00A70E71">
      <w:pPr>
        <w:spacing w:after="0" w:line="276" w:lineRule="auto"/>
        <w:jc w:val="both"/>
      </w:pPr>
      <w:r w:rsidRPr="00B35EE1">
        <w:t xml:space="preserve">Relator: Ministro </w:t>
      </w:r>
      <w:r w:rsidRPr="00B35EE1">
        <w:rPr>
          <w:b/>
          <w:bCs/>
        </w:rPr>
        <w:t>FRANCISCO FALCÃO</w:t>
      </w:r>
    </w:p>
    <w:p w:rsidR="00A70E71" w:rsidRPr="00B35EE1" w:rsidRDefault="00A70E71" w:rsidP="00A70E71">
      <w:pPr>
        <w:spacing w:after="0" w:line="276" w:lineRule="auto"/>
        <w:jc w:val="both"/>
      </w:pPr>
      <w:r w:rsidRPr="00B35EE1">
        <w:t xml:space="preserve">Agravante: </w:t>
      </w:r>
      <w:r w:rsidRPr="00B35EE1">
        <w:rPr>
          <w:b/>
          <w:bCs/>
        </w:rPr>
        <w:t>CLARO S.A</w:t>
      </w:r>
    </w:p>
    <w:p w:rsidR="00A70E71" w:rsidRPr="00B35EE1" w:rsidRDefault="00A70E71" w:rsidP="00A70E71">
      <w:pPr>
        <w:spacing w:line="276" w:lineRule="auto"/>
        <w:jc w:val="both"/>
      </w:pPr>
      <w:r w:rsidRPr="00B35EE1">
        <w:t>Agravado: ESTADO DE SERGIPE</w:t>
      </w:r>
    </w:p>
    <w:p w:rsidR="00A70E71" w:rsidRPr="00B35EE1" w:rsidRDefault="00A70E71" w:rsidP="00A70E71">
      <w:pPr>
        <w:spacing w:line="276" w:lineRule="auto"/>
        <w:jc w:val="both"/>
      </w:pPr>
    </w:p>
    <w:p w:rsidR="00A70E71" w:rsidRPr="00B35EE1" w:rsidRDefault="00A70E71" w:rsidP="00A70E71">
      <w:pPr>
        <w:spacing w:line="276" w:lineRule="auto"/>
        <w:ind w:firstLine="567"/>
        <w:jc w:val="both"/>
      </w:pPr>
      <w:r w:rsidRPr="00B35EE1">
        <w:t xml:space="preserve">Excelentíssimo Senhor Ministro </w:t>
      </w:r>
      <w:r w:rsidRPr="00B35EE1">
        <w:rPr>
          <w:b/>
          <w:bCs/>
        </w:rPr>
        <w:t>FRANCISCO FALCÃO</w:t>
      </w:r>
      <w:r w:rsidRPr="00B35EE1">
        <w:t>,</w:t>
      </w:r>
    </w:p>
    <w:p w:rsidR="00A70E71" w:rsidRPr="00B35EE1" w:rsidRDefault="00A70E71" w:rsidP="00A70E71">
      <w:pPr>
        <w:spacing w:line="276" w:lineRule="auto"/>
        <w:ind w:firstLine="567"/>
        <w:jc w:val="both"/>
      </w:pPr>
      <w:r w:rsidRPr="00B35EE1">
        <w:t xml:space="preserve">Considerando oportuno o momento, conclusão dos autos para julgamento, </w:t>
      </w:r>
      <w:r w:rsidRPr="00FC15A5">
        <w:t>permita-nos</w:t>
      </w:r>
      <w:r w:rsidRPr="00B35EE1">
        <w:t xml:space="preserve"> trazer memorial complementar sobre</w:t>
      </w:r>
      <w:r>
        <w:t xml:space="preserve"> as seguintes questões</w:t>
      </w:r>
      <w:r w:rsidRPr="00B35EE1">
        <w:t>: (i) a ilegitimidade do Convênio 69/98; (</w:t>
      </w:r>
      <w:proofErr w:type="spellStart"/>
      <w:r w:rsidRPr="00B35EE1">
        <w:t>ii</w:t>
      </w:r>
      <w:proofErr w:type="spellEnd"/>
      <w:r w:rsidRPr="00B35EE1">
        <w:t>) a ofensa à LC 87/96 e ao Princípio da Tipicidade Fechada; e (</w:t>
      </w:r>
      <w:proofErr w:type="spellStart"/>
      <w:r w:rsidRPr="00B35EE1">
        <w:t>iii</w:t>
      </w:r>
      <w:proofErr w:type="spellEnd"/>
      <w:r w:rsidRPr="00B35EE1">
        <w:t xml:space="preserve">) o conhecimento e provimento do Agravo Interno objeto deste julgamento. </w:t>
      </w:r>
    </w:p>
    <w:p w:rsidR="00A70E71" w:rsidRPr="00B35EE1" w:rsidRDefault="00A70E71" w:rsidP="00A70E71">
      <w:pPr>
        <w:spacing w:line="276" w:lineRule="auto"/>
        <w:jc w:val="both"/>
        <w:rPr>
          <w:b/>
          <w:bCs/>
        </w:rPr>
      </w:pPr>
      <w:r w:rsidRPr="00B35EE1">
        <w:rPr>
          <w:b/>
          <w:bCs/>
        </w:rPr>
        <w:t>1. Da ilegitimidade do Convênio 69/98</w:t>
      </w:r>
    </w:p>
    <w:p w:rsidR="00A70E71" w:rsidRPr="00B35EE1" w:rsidRDefault="00A70E71" w:rsidP="00A70E71">
      <w:pPr>
        <w:spacing w:line="276" w:lineRule="auto"/>
        <w:ind w:firstLine="567"/>
        <w:jc w:val="both"/>
      </w:pPr>
      <w:r w:rsidRPr="00B35EE1">
        <w:t xml:space="preserve">Os Fiscos, </w:t>
      </w:r>
      <w:r w:rsidRPr="00B35EE1">
        <w:rPr>
          <w:i/>
          <w:iCs/>
        </w:rPr>
        <w:t xml:space="preserve">longa </w:t>
      </w:r>
      <w:proofErr w:type="spellStart"/>
      <w:r w:rsidRPr="00B35EE1">
        <w:rPr>
          <w:i/>
          <w:iCs/>
        </w:rPr>
        <w:t>manus</w:t>
      </w:r>
      <w:proofErr w:type="spellEnd"/>
      <w:r w:rsidRPr="00B35EE1">
        <w:t xml:space="preserve"> do</w:t>
      </w:r>
      <w:r>
        <w:t>s</w:t>
      </w:r>
      <w:r w:rsidRPr="00B35EE1">
        <w:t xml:space="preserve"> Estados</w:t>
      </w:r>
      <w:r>
        <w:t xml:space="preserve"> Membros</w:t>
      </w:r>
      <w:r w:rsidRPr="00B35EE1">
        <w:t xml:space="preserve">, têm nas últimas décadas e em vários casos com o apoio do CONFAZ, quanto à arrecadação das empresas de telecomunicações, agido de forma a </w:t>
      </w:r>
      <w:r w:rsidRPr="00FC15A5">
        <w:t>prejudicá-las</w:t>
      </w:r>
      <w:r w:rsidRPr="00B35EE1">
        <w:t xml:space="preserve"> por meio de tributação, via ICMS, de atividades que não configuram como serviços de comunicação</w:t>
      </w:r>
      <w:r w:rsidRPr="00B35EE1">
        <w:rPr>
          <w:rStyle w:val="Refdenotaderodap"/>
        </w:rPr>
        <w:footnoteReference w:id="1"/>
      </w:r>
      <w:r w:rsidRPr="00B35EE1">
        <w:t xml:space="preserve">. </w:t>
      </w:r>
    </w:p>
    <w:p w:rsidR="00A70E71" w:rsidRPr="00B35EE1" w:rsidRDefault="00A70E71" w:rsidP="00A70E71">
      <w:pPr>
        <w:spacing w:line="276" w:lineRule="auto"/>
        <w:ind w:firstLine="567"/>
        <w:jc w:val="both"/>
      </w:pPr>
      <w:r w:rsidRPr="00B35EE1">
        <w:t xml:space="preserve">A irresignação com o </w:t>
      </w:r>
      <w:r w:rsidRPr="00B35EE1">
        <w:rPr>
          <w:b/>
          <w:bCs/>
          <w:u w:val="single"/>
        </w:rPr>
        <w:t>Convênio ICMS 69/98</w:t>
      </w:r>
      <w:r w:rsidRPr="00B35EE1">
        <w:t xml:space="preserve">, editado pelo CONFAZ, </w:t>
      </w:r>
      <w:r w:rsidRPr="00B35EE1">
        <w:rPr>
          <w:b/>
          <w:bCs/>
          <w:u w:val="single"/>
        </w:rPr>
        <w:t xml:space="preserve">já declarado não lícito pela STJ, no </w:t>
      </w:r>
      <w:proofErr w:type="spellStart"/>
      <w:r w:rsidRPr="00B35EE1">
        <w:rPr>
          <w:b/>
          <w:bCs/>
          <w:u w:val="single"/>
        </w:rPr>
        <w:t>REsp</w:t>
      </w:r>
      <w:proofErr w:type="spellEnd"/>
      <w:r w:rsidRPr="00B35EE1">
        <w:rPr>
          <w:b/>
          <w:bCs/>
          <w:u w:val="single"/>
        </w:rPr>
        <w:t xml:space="preserve"> 402.047/MG</w:t>
      </w:r>
      <w:r w:rsidRPr="00B35EE1">
        <w:rPr>
          <w:rStyle w:val="Refdenotaderodap"/>
        </w:rPr>
        <w:footnoteReference w:id="2"/>
      </w:r>
      <w:r w:rsidRPr="00B35EE1">
        <w:t xml:space="preserve">, se dá pelo motivo acima, haja vista que o referido Convênio além de extrapolar a competência </w:t>
      </w:r>
      <w:r>
        <w:t xml:space="preserve">que </w:t>
      </w:r>
      <w:r w:rsidRPr="00B35EE1">
        <w:t>lhe fora atribuída pelo permissivo constitucional, o mesmo fere frontalmente o princípio da legalidade estrita em matéria tributária.</w:t>
      </w:r>
    </w:p>
    <w:p w:rsidR="00A70E71" w:rsidRPr="00B35EE1" w:rsidRDefault="00A70E71" w:rsidP="00A70E71">
      <w:pPr>
        <w:spacing w:line="276" w:lineRule="auto"/>
        <w:ind w:firstLine="567"/>
        <w:jc w:val="both"/>
      </w:pPr>
      <w:r>
        <w:t>Desse modo, ressalta-se que</w:t>
      </w:r>
      <w:r w:rsidRPr="00B35EE1">
        <w:t>: (i) não incide ICMS sobre a prestação de serviços acessórios ao de comunicação</w:t>
      </w:r>
      <w:r w:rsidRPr="00B35EE1">
        <w:rPr>
          <w:rStyle w:val="Refdenotaderodap"/>
        </w:rPr>
        <w:footnoteReference w:id="3"/>
      </w:r>
      <w:r>
        <w:t>; (</w:t>
      </w:r>
      <w:proofErr w:type="spellStart"/>
      <w:r>
        <w:t>ii</w:t>
      </w:r>
      <w:proofErr w:type="spellEnd"/>
      <w:r>
        <w:t>)</w:t>
      </w:r>
      <w:r w:rsidRPr="00B35EE1">
        <w:t xml:space="preserve"> </w:t>
      </w:r>
      <w:r>
        <w:t xml:space="preserve">o </w:t>
      </w:r>
      <w:r w:rsidRPr="00B35EE1">
        <w:t>enquadramento dado “portas de acesso”</w:t>
      </w:r>
      <w:r w:rsidRPr="00B35EE1">
        <w:rPr>
          <w:rStyle w:val="Refdenotaderodap"/>
        </w:rPr>
        <w:footnoteReference w:id="4"/>
      </w:r>
      <w:r w:rsidRPr="00B35EE1">
        <w:t xml:space="preserve"> na execução fiscal se configura como serviços acessórios, sem a qual o serviço de comunicação a época não poderia ser prestado; e (</w:t>
      </w:r>
      <w:proofErr w:type="spellStart"/>
      <w:r w:rsidRPr="00B35EE1">
        <w:t>ii</w:t>
      </w:r>
      <w:r>
        <w:t>i</w:t>
      </w:r>
      <w:proofErr w:type="spellEnd"/>
      <w:r w:rsidRPr="00B35EE1">
        <w:t>)</w:t>
      </w:r>
      <w:r>
        <w:t xml:space="preserve"> </w:t>
      </w:r>
      <w:r w:rsidRPr="00191DE1">
        <w:t xml:space="preserve">independentemente </w:t>
      </w:r>
      <w:r>
        <w:t>de tais serviços</w:t>
      </w:r>
      <w:r w:rsidRPr="00B35EE1">
        <w:t xml:space="preserve"> (atividade-meio) serem prestados por empresa cuj</w:t>
      </w:r>
      <w:r>
        <w:t xml:space="preserve">o propósito </w:t>
      </w:r>
      <w:r w:rsidRPr="00B35EE1">
        <w:t>seja a prestação de serviço de telecomunicação (atividade-fim), tal fato não autoriza, por si só, a incidência d</w:t>
      </w:r>
      <w:r>
        <w:t>e</w:t>
      </w:r>
      <w:r w:rsidRPr="00B35EE1">
        <w:t xml:space="preserve"> ICMS-comunicação, pois àquela atividade falta o requisito primeiro d</w:t>
      </w:r>
      <w:r>
        <w:t>e</w:t>
      </w:r>
      <w:r w:rsidRPr="00B35EE1">
        <w:t xml:space="preserve"> configuração do fato gerador do aludido imposto: a relação comunicativa.</w:t>
      </w:r>
    </w:p>
    <w:p w:rsidR="00A70E71" w:rsidRPr="00B35EE1" w:rsidRDefault="00A70E71" w:rsidP="00A70E71">
      <w:pPr>
        <w:spacing w:line="276" w:lineRule="auto"/>
        <w:ind w:firstLine="567"/>
        <w:jc w:val="both"/>
      </w:pPr>
      <w:r w:rsidRPr="00B35EE1">
        <w:t>Dessa forma, deixar os Estados</w:t>
      </w:r>
      <w:r>
        <w:t xml:space="preserve"> Membros</w:t>
      </w:r>
      <w:r w:rsidRPr="00B35EE1">
        <w:t xml:space="preserve"> cobrarem ICMS de atividades que não aquelas propriamente ditas de comunicação, criando por consequência novas exações sobre fatos geradores não previstos na Lei Maior, com base no Convênio</w:t>
      </w:r>
      <w:r>
        <w:t xml:space="preserve"> </w:t>
      </w:r>
      <w:r w:rsidRPr="007D0578">
        <w:t>ICMS 69/98</w:t>
      </w:r>
      <w:r w:rsidRPr="00B35EE1">
        <w:t xml:space="preserve">, além de contrariar os </w:t>
      </w:r>
      <w:r w:rsidRPr="00B35EE1">
        <w:lastRenderedPageBreak/>
        <w:t>precedentes da Corte de Justiça, dá àqueles Entes</w:t>
      </w:r>
      <w:r>
        <w:t xml:space="preserve"> </w:t>
      </w:r>
      <w:r w:rsidRPr="00B35EE1">
        <w:t xml:space="preserve">e ao CONFAZ o poder de constituintes originários. </w:t>
      </w:r>
    </w:p>
    <w:p w:rsidR="00A70E71" w:rsidRPr="00B35EE1" w:rsidRDefault="00A70E71" w:rsidP="00A70E71">
      <w:pPr>
        <w:spacing w:line="276" w:lineRule="auto"/>
        <w:ind w:left="567" w:hanging="567"/>
        <w:jc w:val="both"/>
        <w:rPr>
          <w:b/>
          <w:bCs/>
        </w:rPr>
      </w:pPr>
      <w:r w:rsidRPr="00B35EE1">
        <w:rPr>
          <w:b/>
          <w:bCs/>
        </w:rPr>
        <w:t>2. Da ofensa à LC 87/96 e ao Princípio da Tipicidade Fechada</w:t>
      </w:r>
    </w:p>
    <w:p w:rsidR="00A70E71" w:rsidRPr="00B35EE1" w:rsidRDefault="00A70E71" w:rsidP="00A70E71">
      <w:pPr>
        <w:spacing w:line="276" w:lineRule="auto"/>
        <w:ind w:firstLine="567"/>
        <w:jc w:val="both"/>
      </w:pPr>
      <w:r w:rsidRPr="00B35EE1">
        <w:t xml:space="preserve">Em primeiro lugar, o acórdão </w:t>
      </w:r>
      <w:r w:rsidRPr="008471F2">
        <w:rPr>
          <w:i/>
          <w:iCs/>
        </w:rPr>
        <w:t>a quo</w:t>
      </w:r>
      <w:r w:rsidRPr="00B35EE1">
        <w:t xml:space="preserve"> ignorou as razões da sentença, quais sejam, a literalidade/taxatividade da LC 87/96, bem como o princípio da tipicidade fechada em matéria tributária, ao asseverar que o juízo de 1º grau não poderia classificar “</w:t>
      </w:r>
      <w:r w:rsidRPr="00B35EE1">
        <w:rPr>
          <w:i/>
          <w:iCs/>
        </w:rPr>
        <w:t>o serviço de aluguel de portas de acesso como mero serviço coadjuvante ao serviço de comunicação stricto sensu</w:t>
      </w:r>
      <w:r w:rsidRPr="00B35EE1">
        <w:t xml:space="preserve">” e que não houve ofensa ao art. 2º, III, da LC  87/96 (e-STJ Fl.1021).  </w:t>
      </w:r>
    </w:p>
    <w:p w:rsidR="00A70E71" w:rsidRPr="00B35EE1" w:rsidRDefault="00A70E71" w:rsidP="00A70E71">
      <w:pPr>
        <w:spacing w:line="276" w:lineRule="auto"/>
        <w:ind w:firstLine="567"/>
        <w:jc w:val="both"/>
      </w:pPr>
      <w:r w:rsidRPr="00B35EE1">
        <w:t xml:space="preserve">  </w:t>
      </w:r>
      <w:r w:rsidRPr="008471F2">
        <w:t>Ora, p</w:t>
      </w:r>
      <w:r w:rsidRPr="00B35EE1">
        <w:t xml:space="preserve">ela lógica, tudo que não for caracterizado como serviço de comunicação </w:t>
      </w:r>
      <w:r w:rsidRPr="00B35EE1">
        <w:rPr>
          <w:i/>
          <w:iCs/>
        </w:rPr>
        <w:t>stricto sensu</w:t>
      </w:r>
      <w:r w:rsidRPr="00B35EE1">
        <w:t xml:space="preserve"> (atividade-fim) e não estiver expressamente contido na lei, por exclusão só poderá ser enquadrado como serviço complementar e/ou secundário (atividade-meio). Desse modo, não </w:t>
      </w:r>
      <w:r>
        <w:t>há</w:t>
      </w:r>
      <w:r w:rsidRPr="00B35EE1">
        <w:t xml:space="preserve"> cobrança de ICMS, por não se tratar de serviços de comunicação propriamente dito. </w:t>
      </w:r>
    </w:p>
    <w:p w:rsidR="00A70E71" w:rsidRPr="00B35EE1" w:rsidRDefault="00A70E71" w:rsidP="00A70E71">
      <w:pPr>
        <w:spacing w:line="276" w:lineRule="auto"/>
        <w:ind w:firstLine="567"/>
        <w:jc w:val="both"/>
      </w:pPr>
      <w:r w:rsidRPr="00B35EE1">
        <w:t>Em segundo lugar, o voto vencido além de reconhecer</w:t>
      </w:r>
      <w:r>
        <w:t>, de forma equivocada,</w:t>
      </w:r>
      <w:r w:rsidRPr="00B35EE1">
        <w:t xml:space="preserve"> a ofensa ao art. 2º, III, da LC 87/96</w:t>
      </w:r>
      <w:r w:rsidRPr="00B35EE1">
        <w:rPr>
          <w:rStyle w:val="Refdenotaderodap"/>
        </w:rPr>
        <w:footnoteReference w:id="5"/>
      </w:r>
      <w:r w:rsidRPr="00B35EE1">
        <w:t xml:space="preserve">, </w:t>
      </w:r>
      <w:r>
        <w:t>aduz</w:t>
      </w:r>
      <w:r w:rsidRPr="00B35EE1">
        <w:t xml:space="preserve"> que: </w:t>
      </w:r>
    </w:p>
    <w:p w:rsidR="00A70E71" w:rsidRPr="00B35EE1" w:rsidRDefault="00A70E71" w:rsidP="00A70E71">
      <w:pPr>
        <w:spacing w:after="0" w:line="276" w:lineRule="auto"/>
        <w:ind w:left="1134"/>
        <w:jc w:val="both"/>
        <w:rPr>
          <w:sz w:val="20"/>
          <w:szCs w:val="20"/>
        </w:rPr>
      </w:pPr>
      <w:r w:rsidRPr="00B35EE1">
        <w:rPr>
          <w:sz w:val="20"/>
          <w:szCs w:val="20"/>
        </w:rPr>
        <w:t xml:space="preserve">“Da análise do conceito de serviços de telecomunicações contido no bojo da Lei 9.472/97 em cotejo com o Auto de Infração, </w:t>
      </w:r>
      <w:r w:rsidRPr="00B35EE1">
        <w:rPr>
          <w:sz w:val="20"/>
          <w:szCs w:val="20"/>
          <w:u w:val="single"/>
        </w:rPr>
        <w:t>verifico que os serviços de locação de portas de acesso à rede de telecomunicações não se incluem na descrição de Serviços de Telecomunicações, propriamente ditos, constante no art. 2</w:t>
      </w:r>
      <w:proofErr w:type="gramStart"/>
      <w:r w:rsidRPr="00B35EE1">
        <w:rPr>
          <w:sz w:val="20"/>
          <w:szCs w:val="20"/>
          <w:u w:val="single"/>
        </w:rPr>
        <w:t>º ,</w:t>
      </w:r>
      <w:proofErr w:type="gramEnd"/>
      <w:r w:rsidRPr="00B35EE1">
        <w:rPr>
          <w:sz w:val="20"/>
          <w:szCs w:val="20"/>
          <w:u w:val="single"/>
        </w:rPr>
        <w:t xml:space="preserve"> III da LC 87/96, isto porque, tais serviços configuram, apenas, meios de viabilidade ou de acesso, preparatórios aos serviços de comunicação.</w:t>
      </w:r>
      <w:r w:rsidRPr="00B35EE1">
        <w:rPr>
          <w:sz w:val="20"/>
          <w:szCs w:val="20"/>
        </w:rPr>
        <w:t xml:space="preserve"> Assim, concluiu-se que tais serviços não tipificam a prestação do serviço em exame, mas são simples etapa necessária à sua implementação, configurando-se como um Serviço de Valor Adicionado (SVA).</w:t>
      </w:r>
    </w:p>
    <w:p w:rsidR="00A70E71" w:rsidRPr="00B35EE1" w:rsidRDefault="00A70E71" w:rsidP="00A70E71">
      <w:pPr>
        <w:spacing w:after="0" w:line="276" w:lineRule="auto"/>
        <w:ind w:left="1134"/>
        <w:jc w:val="both"/>
        <w:rPr>
          <w:sz w:val="20"/>
          <w:szCs w:val="20"/>
        </w:rPr>
      </w:pPr>
      <w:r w:rsidRPr="00B35EE1">
        <w:rPr>
          <w:sz w:val="20"/>
          <w:szCs w:val="20"/>
        </w:rPr>
        <w:t>Consoante o art. 61 da Lei 9.472/97, os Serviços de Valor Adicionado constituem atividades que representam um acréscimo da prestação de serviço de acesso ao serviço já existente de telecomunicações. Assim, tem-se que os Serviços de Valor Adicionado não constituem serviços de telecomunicações e, por esse motivo, estão dispensados da incidência do ICMS.</w:t>
      </w:r>
    </w:p>
    <w:p w:rsidR="00A70E71" w:rsidRPr="00B35EE1" w:rsidRDefault="00A70E71" w:rsidP="00A70E71">
      <w:pPr>
        <w:spacing w:line="276" w:lineRule="auto"/>
        <w:ind w:left="1134"/>
        <w:jc w:val="both"/>
        <w:rPr>
          <w:sz w:val="20"/>
          <w:szCs w:val="20"/>
        </w:rPr>
      </w:pPr>
      <w:r w:rsidRPr="00B35EE1">
        <w:rPr>
          <w:sz w:val="20"/>
          <w:szCs w:val="20"/>
        </w:rPr>
        <w:t xml:space="preserve">Logo, </w:t>
      </w:r>
      <w:r w:rsidRPr="00B35EE1">
        <w:rPr>
          <w:sz w:val="20"/>
          <w:szCs w:val="20"/>
          <w:u w:val="single"/>
        </w:rPr>
        <w:t>não cabe ao Convênio 69/98 ampliar as hipóteses previstas na Lei 9.472/97 para englobar as atividades que antecedem e viabilizam os serviços de comunicação, uma vez que prevalece no direito tributário o Princípio da Tipicidade Fechada</w:t>
      </w:r>
      <w:r w:rsidRPr="00B35EE1">
        <w:rPr>
          <w:sz w:val="20"/>
          <w:szCs w:val="20"/>
        </w:rPr>
        <w:t>.” (</w:t>
      </w:r>
      <w:proofErr w:type="gramStart"/>
      <w:r w:rsidRPr="00B35EE1">
        <w:rPr>
          <w:sz w:val="20"/>
          <w:szCs w:val="20"/>
        </w:rPr>
        <w:t>e</w:t>
      </w:r>
      <w:proofErr w:type="gramEnd"/>
      <w:r w:rsidRPr="00B35EE1">
        <w:rPr>
          <w:sz w:val="20"/>
          <w:szCs w:val="20"/>
        </w:rPr>
        <w:t>-STJ Fl.1026)</w:t>
      </w:r>
    </w:p>
    <w:p w:rsidR="00A70E71" w:rsidRPr="00B35EE1" w:rsidRDefault="00A70E71" w:rsidP="00A70E71">
      <w:pPr>
        <w:spacing w:line="276" w:lineRule="auto"/>
        <w:ind w:firstLine="567"/>
        <w:jc w:val="both"/>
      </w:pPr>
      <w:r w:rsidRPr="00B35EE1">
        <w:t xml:space="preserve">Em terceiro lugar, a Primeira Turma do Superior Tribunal de Justiça, no julgamento do </w:t>
      </w:r>
      <w:proofErr w:type="spellStart"/>
      <w:r w:rsidRPr="00B35EE1">
        <w:t>REsp</w:t>
      </w:r>
      <w:proofErr w:type="spellEnd"/>
      <w:r w:rsidRPr="00B35EE1">
        <w:t xml:space="preserve"> 402.047/MG, sob a relatoria do Min. HUMBERTO GOMES DE BARROS, já se pronunciou pela ilicitude “</w:t>
      </w:r>
      <w:r w:rsidRPr="00B35EE1">
        <w:rPr>
          <w:i/>
          <w:iCs/>
        </w:rPr>
        <w:t>da dilatação da base de cálculo do ICMS-comunicação implementada pelo Convênio ICMS 69/98</w:t>
      </w:r>
      <w:r w:rsidRPr="00B35EE1">
        <w:t>”, objeto de toda controvérsia discutida nos autos</w:t>
      </w:r>
      <w:r w:rsidRPr="00B35EE1">
        <w:rPr>
          <w:rStyle w:val="Refdenotaderodap"/>
        </w:rPr>
        <w:footnoteReference w:id="6"/>
      </w:r>
      <w:r w:rsidRPr="00B35EE1">
        <w:t>.</w:t>
      </w:r>
    </w:p>
    <w:p w:rsidR="00A70E71" w:rsidRPr="00B35EE1" w:rsidRDefault="00A70E71" w:rsidP="00A70E71">
      <w:pPr>
        <w:spacing w:line="276" w:lineRule="auto"/>
        <w:ind w:firstLine="567"/>
        <w:jc w:val="both"/>
      </w:pPr>
      <w:r w:rsidRPr="00B35EE1">
        <w:t xml:space="preserve">Ademais, </w:t>
      </w:r>
      <w:r w:rsidRPr="00B35EE1">
        <w:rPr>
          <w:u w:val="single"/>
        </w:rPr>
        <w:t xml:space="preserve">sob a temática do Recursos Repetitivos, o Superior Tribunal de Justiça, no julgamento do </w:t>
      </w:r>
      <w:r w:rsidRPr="00B35EE1">
        <w:rPr>
          <w:b/>
          <w:bCs/>
          <w:u w:val="single"/>
        </w:rPr>
        <w:t>RESP nº 1.176.753/RJ</w:t>
      </w:r>
      <w:r w:rsidRPr="00B35EE1">
        <w:rPr>
          <w:u w:val="single"/>
        </w:rPr>
        <w:t>, firmou</w:t>
      </w:r>
      <w:r>
        <w:rPr>
          <w:u w:val="single"/>
        </w:rPr>
        <w:t>-se</w:t>
      </w:r>
      <w:r w:rsidRPr="00B35EE1">
        <w:rPr>
          <w:u w:val="single"/>
        </w:rPr>
        <w:t xml:space="preserve"> a seguinte tese jurídica (</w:t>
      </w:r>
      <w:r w:rsidRPr="00B35EE1">
        <w:rPr>
          <w:b/>
          <w:bCs/>
          <w:u w:val="single"/>
        </w:rPr>
        <w:t>Repetitivo 427</w:t>
      </w:r>
      <w:r w:rsidRPr="00B35EE1">
        <w:t xml:space="preserve">): </w:t>
      </w:r>
    </w:p>
    <w:p w:rsidR="00A70E71" w:rsidRPr="00B35EE1" w:rsidRDefault="00A70E71" w:rsidP="00A70E71">
      <w:pPr>
        <w:spacing w:line="276" w:lineRule="auto"/>
        <w:ind w:left="1134"/>
        <w:jc w:val="both"/>
        <w:rPr>
          <w:sz w:val="20"/>
          <w:szCs w:val="20"/>
        </w:rPr>
      </w:pPr>
      <w:r w:rsidRPr="00B35EE1">
        <w:rPr>
          <w:sz w:val="20"/>
          <w:szCs w:val="20"/>
        </w:rPr>
        <w:t xml:space="preserve">"A incidência do ICMS, no que se refere à prestação dos serviços de comunicação, deve ser extraída da Constituição Federal e da LC 87/96, incidindo o tributo sobre os serviços de </w:t>
      </w:r>
      <w:r w:rsidRPr="00B35EE1">
        <w:rPr>
          <w:sz w:val="20"/>
          <w:szCs w:val="20"/>
        </w:rPr>
        <w:lastRenderedPageBreak/>
        <w:t xml:space="preserve">comunicação prestados de forma onerosa, através de qualquer meio, inclusive a geração, a emissão, a recepção, a transmissão, a retransmissão, a repetição e a ampliação de comunicação de qualquer natureza (art. 2º, III, da LC 87/96). </w:t>
      </w:r>
      <w:r w:rsidRPr="00B35EE1">
        <w:rPr>
          <w:sz w:val="20"/>
          <w:szCs w:val="20"/>
          <w:u w:val="single"/>
        </w:rPr>
        <w:t>A prestação de serviços conexos ao de comunicação por meio da telefonia móvel (que são preparatórios, acessórios ou intermediários da comunicação) não se confunde com a prestação da atividade fim processo de transmissão (emissão ou recepção) de informações de qualquer natureza, esta sim, passível de incidência pelo ICMS</w:t>
      </w:r>
      <w:r w:rsidRPr="00B35EE1">
        <w:rPr>
          <w:sz w:val="20"/>
          <w:szCs w:val="20"/>
        </w:rPr>
        <w:t>. Desse modo, a despeito de alguns deles serem essenciais à efetiva prestação do serviço de comunicação e admitirem a cobrança de tarifa pela prestadora do serviço (concessionária de serviço público), por assumirem o caráter de atividade meio, não constituem, efetivamente, serviços de comunicação, razão pela qual não é possível a incidência do ICMS".</w:t>
      </w:r>
    </w:p>
    <w:p w:rsidR="00A70E71" w:rsidRPr="00B35EE1" w:rsidRDefault="00A70E71" w:rsidP="00A70E71">
      <w:pPr>
        <w:spacing w:line="276" w:lineRule="auto"/>
        <w:jc w:val="both"/>
        <w:rPr>
          <w:b/>
          <w:bCs/>
        </w:rPr>
      </w:pPr>
      <w:r w:rsidRPr="00B35EE1">
        <w:rPr>
          <w:b/>
          <w:bCs/>
        </w:rPr>
        <w:t xml:space="preserve">3. Do conhecimento e provimento do Agravo Interno objeto </w:t>
      </w:r>
      <w:r>
        <w:rPr>
          <w:b/>
          <w:bCs/>
        </w:rPr>
        <w:t>de</w:t>
      </w:r>
      <w:r w:rsidRPr="00B35EE1">
        <w:rPr>
          <w:b/>
          <w:bCs/>
        </w:rPr>
        <w:t xml:space="preserve"> julgamento</w:t>
      </w:r>
    </w:p>
    <w:p w:rsidR="00A70E71" w:rsidRPr="00B35EE1" w:rsidRDefault="00A70E71" w:rsidP="00A70E71">
      <w:pPr>
        <w:spacing w:line="276" w:lineRule="auto"/>
        <w:ind w:firstLine="567"/>
        <w:jc w:val="both"/>
      </w:pPr>
      <w:r w:rsidRPr="00B35EE1">
        <w:t xml:space="preserve">Além dos motivos já apresentados acima, </w:t>
      </w:r>
      <w:r>
        <w:t>consideráveis</w:t>
      </w:r>
      <w:r w:rsidRPr="00B35EE1">
        <w:t xml:space="preserve"> para a admissão do recurso especial da Recorrente, ora Agravante, verifica-se, também, quanto decisão agravada, os seguintes motivos: </w:t>
      </w:r>
    </w:p>
    <w:p w:rsidR="00A70E71" w:rsidRPr="00B35EE1" w:rsidRDefault="00A70E71" w:rsidP="00A70E71">
      <w:pPr>
        <w:pStyle w:val="PargrafodaLista"/>
        <w:numPr>
          <w:ilvl w:val="0"/>
          <w:numId w:val="1"/>
        </w:numPr>
        <w:spacing w:line="276" w:lineRule="auto"/>
        <w:ind w:left="1134" w:hanging="567"/>
        <w:jc w:val="both"/>
      </w:pPr>
      <w:r w:rsidRPr="00B35EE1">
        <w:t xml:space="preserve">Não há que se falar em óbice à Sumula 83/STJ, pois a decisão </w:t>
      </w:r>
      <w:r w:rsidRPr="00B35EE1">
        <w:rPr>
          <w:i/>
          <w:iCs/>
        </w:rPr>
        <w:t xml:space="preserve">a quo </w:t>
      </w:r>
      <w:r w:rsidRPr="00B35EE1">
        <w:t xml:space="preserve">recorrida não se firmou no mesmo sentido da orientação do STJ, como ficou demonstrado pelo </w:t>
      </w:r>
      <w:proofErr w:type="spellStart"/>
      <w:r w:rsidRPr="00B35EE1">
        <w:t>REsp</w:t>
      </w:r>
      <w:proofErr w:type="spellEnd"/>
      <w:r w:rsidRPr="00B35EE1">
        <w:t xml:space="preserve"> 402.047/MG e principalmente pelo </w:t>
      </w:r>
      <w:proofErr w:type="spellStart"/>
      <w:r w:rsidRPr="00B35EE1">
        <w:t>REsp</w:t>
      </w:r>
      <w:proofErr w:type="spellEnd"/>
      <w:r w:rsidRPr="00B35EE1">
        <w:t xml:space="preserve"> 1.176.753/RJ (Tema 427/STJ em sede de recursos repetitivos); </w:t>
      </w:r>
    </w:p>
    <w:p w:rsidR="00A70E71" w:rsidRPr="00B35EE1" w:rsidRDefault="00A70E71" w:rsidP="00A70E71">
      <w:pPr>
        <w:pStyle w:val="PargrafodaLista"/>
        <w:numPr>
          <w:ilvl w:val="0"/>
          <w:numId w:val="1"/>
        </w:numPr>
        <w:spacing w:line="276" w:lineRule="auto"/>
        <w:ind w:left="1134" w:hanging="567"/>
        <w:jc w:val="both"/>
      </w:pPr>
      <w:r w:rsidRPr="00B35EE1">
        <w:t xml:space="preserve">Também não há que se falar em óbice à Sumula 7/STJ, pois a questão controvertida é meramente de direito, a saber: a subsunção do presente caso (auto de infração lavrado com base nas disposições do Convênio ICMS 69/98) ao precedente firmado pela Primeira Seção do STJ </w:t>
      </w:r>
      <w:r>
        <w:t>no</w:t>
      </w:r>
      <w:r w:rsidRPr="00B35EE1">
        <w:t xml:space="preserve"> Tema 427/STJ do referido </w:t>
      </w:r>
      <w:proofErr w:type="spellStart"/>
      <w:r w:rsidRPr="00B35EE1">
        <w:t>REsp</w:t>
      </w:r>
      <w:proofErr w:type="spellEnd"/>
      <w:r w:rsidRPr="00B35EE1">
        <w:t xml:space="preserve"> 1.176.753/RJ; e</w:t>
      </w:r>
    </w:p>
    <w:p w:rsidR="00A70E71" w:rsidRPr="00B35EE1" w:rsidRDefault="00A70E71" w:rsidP="00A70E71">
      <w:pPr>
        <w:pStyle w:val="PargrafodaLista"/>
        <w:numPr>
          <w:ilvl w:val="0"/>
          <w:numId w:val="1"/>
        </w:numPr>
        <w:spacing w:line="276" w:lineRule="auto"/>
        <w:ind w:left="1134" w:hanging="567"/>
        <w:jc w:val="both"/>
      </w:pPr>
      <w:r w:rsidRPr="00B35EE1">
        <w:t>Acerca da nulidade do acórdão dos embargos de declaração, por deficiência de quórum, o recurso especial era o único recurso cabível, ante o risco de capitulação de multa por embargos de declaração protelatórios, consoante expressa previsão do art. 1.026, §</w:t>
      </w:r>
      <w:r>
        <w:t xml:space="preserve"> </w:t>
      </w:r>
      <w:r w:rsidRPr="00B35EE1">
        <w:t>2º, do CPC.</w:t>
      </w:r>
    </w:p>
    <w:p w:rsidR="00A70E71" w:rsidRPr="00B35EE1" w:rsidRDefault="00A70E71" w:rsidP="00A70E71">
      <w:pPr>
        <w:spacing w:line="276" w:lineRule="auto"/>
        <w:ind w:firstLine="567"/>
        <w:jc w:val="both"/>
      </w:pPr>
      <w:r w:rsidRPr="00B35EE1">
        <w:t xml:space="preserve">Por fim, </w:t>
      </w:r>
      <w:r w:rsidRPr="00FD1C35">
        <w:t>ante</w:t>
      </w:r>
      <w:r w:rsidRPr="00B35EE1">
        <w:t xml:space="preserve"> todas as considerações, a Agravante pugna, respeitosamente, a Vossa Excelência, pela retratação da decisão agravada, para que seu </w:t>
      </w:r>
      <w:proofErr w:type="spellStart"/>
      <w:r w:rsidRPr="00B35EE1">
        <w:t>AREsp</w:t>
      </w:r>
      <w:proofErr w:type="spellEnd"/>
      <w:r w:rsidRPr="00B35EE1">
        <w:t xml:space="preserve"> seja acolhido e, no mérito, seja seu recurso especial julgado integralmente procedente.</w:t>
      </w:r>
    </w:p>
    <w:p w:rsidR="00A70E71" w:rsidRPr="00B35EE1" w:rsidRDefault="00A70E71" w:rsidP="00A70E71">
      <w:pPr>
        <w:spacing w:line="276" w:lineRule="auto"/>
        <w:jc w:val="center"/>
      </w:pPr>
    </w:p>
    <w:p w:rsidR="00A70E71" w:rsidRPr="00B35EE1" w:rsidRDefault="00A70E71" w:rsidP="00A70E71">
      <w:pPr>
        <w:spacing w:line="276" w:lineRule="auto"/>
        <w:jc w:val="center"/>
      </w:pPr>
      <w:r w:rsidRPr="00B35EE1">
        <w:t>Brasília-DF, 2</w:t>
      </w:r>
      <w:r>
        <w:t>9</w:t>
      </w:r>
      <w:r w:rsidRPr="00B35EE1">
        <w:t xml:space="preserve"> de fevereiro de 2020.</w:t>
      </w:r>
    </w:p>
    <w:p w:rsidR="00A70E71" w:rsidRPr="00B35EE1" w:rsidRDefault="00A70E71" w:rsidP="00A70E71">
      <w:pPr>
        <w:spacing w:line="276" w:lineRule="auto"/>
        <w:ind w:firstLine="567"/>
        <w:jc w:val="center"/>
      </w:pPr>
    </w:p>
    <w:p w:rsidR="00A70E71" w:rsidRPr="00B35EE1" w:rsidRDefault="002B372E" w:rsidP="00A70E71">
      <w:pPr>
        <w:spacing w:after="0" w:line="276" w:lineRule="auto"/>
        <w:jc w:val="center"/>
      </w:pPr>
      <w:bookmarkStart w:id="0" w:name="_GoBack"/>
      <w:bookmarkEnd w:id="0"/>
      <w:r>
        <w:t>Nome</w:t>
      </w:r>
    </w:p>
    <w:p w:rsidR="00A70E71" w:rsidRPr="00B35EE1" w:rsidRDefault="002B372E" w:rsidP="00A70E71">
      <w:pPr>
        <w:spacing w:line="276" w:lineRule="auto"/>
        <w:jc w:val="center"/>
      </w:pPr>
      <w:r>
        <w:t>OAB/UF 00.000</w:t>
      </w:r>
    </w:p>
    <w:p w:rsidR="00DF0A84" w:rsidRDefault="00DF0A84"/>
    <w:sectPr w:rsidR="00DF0A84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8DE" w:rsidRDefault="006608DE" w:rsidP="00A70E71">
      <w:pPr>
        <w:spacing w:after="0" w:line="240" w:lineRule="auto"/>
      </w:pPr>
      <w:r>
        <w:separator/>
      </w:r>
    </w:p>
  </w:endnote>
  <w:endnote w:type="continuationSeparator" w:id="0">
    <w:p w:rsidR="006608DE" w:rsidRDefault="006608DE" w:rsidP="00A70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20587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26BDF" w:rsidRDefault="006608D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372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372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26BDF" w:rsidRDefault="006608D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8DE" w:rsidRDefault="006608DE" w:rsidP="00A70E71">
      <w:pPr>
        <w:spacing w:after="0" w:line="240" w:lineRule="auto"/>
      </w:pPr>
      <w:r>
        <w:separator/>
      </w:r>
    </w:p>
  </w:footnote>
  <w:footnote w:type="continuationSeparator" w:id="0">
    <w:p w:rsidR="006608DE" w:rsidRDefault="006608DE" w:rsidP="00A70E71">
      <w:pPr>
        <w:spacing w:after="0" w:line="240" w:lineRule="auto"/>
      </w:pPr>
      <w:r>
        <w:continuationSeparator/>
      </w:r>
    </w:p>
  </w:footnote>
  <w:footnote w:id="1">
    <w:p w:rsidR="00A70E71" w:rsidRPr="002968E5" w:rsidRDefault="00A70E71" w:rsidP="00A70E71">
      <w:pPr>
        <w:pStyle w:val="Textodenotaderodap"/>
        <w:jc w:val="both"/>
        <w:rPr>
          <w:rFonts w:cstheme="minorHAnsi"/>
        </w:rPr>
      </w:pPr>
      <w:r w:rsidRPr="002968E5">
        <w:rPr>
          <w:rStyle w:val="Refdenotaderodap"/>
          <w:rFonts w:cstheme="minorHAnsi"/>
        </w:rPr>
        <w:footnoteRef/>
      </w:r>
      <w:r w:rsidRPr="002968E5">
        <w:rPr>
          <w:rFonts w:cstheme="minorHAnsi"/>
        </w:rPr>
        <w:t xml:space="preserve"> MOREIRA, André Mendes e MANEIRA, Eduardo. Direito Tributário das Telecomunicações. TORRES, Heleno Taveira (org.). Da não-incidência de ICMS sobre a habilitação de telefones – ilegitimidade do Convênio ICMS nº 69/98 (em coautoria com Eduardo Maneira). São Paulo: IOB-Thomson: ABETEL, 2004, pp. 631-48. Disponível em: &lt;https://sachacalmon.com.br/publicacoes/artigos/nao-incidencia-de-icms-sobre-a-habilitacao-de-telefones/&gt;. Acesso em 23 </w:t>
      </w:r>
      <w:proofErr w:type="spellStart"/>
      <w:r w:rsidRPr="002968E5">
        <w:rPr>
          <w:rFonts w:cstheme="minorHAnsi"/>
        </w:rPr>
        <w:t>fev</w:t>
      </w:r>
      <w:proofErr w:type="spellEnd"/>
      <w:r w:rsidRPr="002968E5">
        <w:rPr>
          <w:rFonts w:cstheme="minorHAnsi"/>
        </w:rPr>
        <w:t xml:space="preserve"> 2020.</w:t>
      </w:r>
    </w:p>
  </w:footnote>
  <w:footnote w:id="2">
    <w:p w:rsidR="00A70E71" w:rsidRPr="002968E5" w:rsidRDefault="00A70E71" w:rsidP="00A70E71">
      <w:pPr>
        <w:pStyle w:val="Textodenotaderodap"/>
        <w:jc w:val="both"/>
        <w:rPr>
          <w:rFonts w:cstheme="minorHAnsi"/>
        </w:rPr>
      </w:pPr>
      <w:r w:rsidRPr="002968E5">
        <w:rPr>
          <w:rStyle w:val="Refdenotaderodap"/>
          <w:rFonts w:cstheme="minorHAnsi"/>
        </w:rPr>
        <w:footnoteRef/>
      </w:r>
      <w:r w:rsidRPr="002968E5">
        <w:rPr>
          <w:rFonts w:cstheme="minorHAnsi"/>
        </w:rPr>
        <w:t xml:space="preserve"> “TRIBUTÁRIO - ICMS - "SERVIÇOS DE COMUNICAÇÃO" - CONCEITO - INCIDÊNCIA - AMPLIAÇÃO DA BASE DE CÁLCULO - CLÁUSULA PRIMEIRA DO CONVÊNIO 69/98. (...) </w:t>
      </w:r>
      <w:r w:rsidRPr="002968E5">
        <w:rPr>
          <w:rFonts w:cstheme="minorHAnsi"/>
          <w:b/>
          <w:bCs/>
          <w:u w:val="single"/>
        </w:rPr>
        <w:t>À míngua de Lei não é lícita a dilatação da base de cálculo do ICMS-comunicação implementada pelo Convênio ICMS 69/98 (art. 97, § 1º, do CTN). 4. Recurso provido</w:t>
      </w:r>
      <w:r w:rsidRPr="002968E5">
        <w:rPr>
          <w:rFonts w:cstheme="minorHAnsi"/>
        </w:rPr>
        <w:t>.” (</w:t>
      </w:r>
      <w:proofErr w:type="spellStart"/>
      <w:r w:rsidRPr="002968E5">
        <w:rPr>
          <w:rFonts w:cstheme="minorHAnsi"/>
        </w:rPr>
        <w:t>REsp</w:t>
      </w:r>
      <w:proofErr w:type="spellEnd"/>
      <w:r w:rsidRPr="002968E5">
        <w:rPr>
          <w:rFonts w:cstheme="minorHAnsi"/>
        </w:rPr>
        <w:t xml:space="preserve"> 402.047/MG, Rel. Ministro HUMBERTO GOMES DE BARROS, PRIMEIRA TURMA, julgado em 04/11/2003, DJ 09/12/2003, p. 214)</w:t>
      </w:r>
    </w:p>
  </w:footnote>
  <w:footnote w:id="3">
    <w:p w:rsidR="00A70E71" w:rsidRDefault="00A70E71" w:rsidP="00A70E71">
      <w:pPr>
        <w:pStyle w:val="Textodenotaderodap"/>
      </w:pPr>
      <w:r>
        <w:rPr>
          <w:rStyle w:val="Refdenotaderodap"/>
        </w:rPr>
        <w:footnoteRef/>
      </w:r>
      <w:r>
        <w:t xml:space="preserve"> Informativo STJ nº 0510. </w:t>
      </w:r>
    </w:p>
  </w:footnote>
  <w:footnote w:id="4">
    <w:p w:rsidR="00A70E71" w:rsidRPr="002968E5" w:rsidRDefault="00A70E71" w:rsidP="00A70E71">
      <w:pPr>
        <w:pStyle w:val="Textodenotaderodap"/>
        <w:jc w:val="both"/>
        <w:rPr>
          <w:rFonts w:cstheme="minorHAnsi"/>
        </w:rPr>
      </w:pPr>
      <w:r w:rsidRPr="002968E5">
        <w:rPr>
          <w:rStyle w:val="Refdenotaderodap"/>
          <w:rFonts w:cstheme="minorHAnsi"/>
        </w:rPr>
        <w:footnoteRef/>
      </w:r>
      <w:r w:rsidRPr="002968E5">
        <w:rPr>
          <w:rFonts w:cstheme="minorHAnsi"/>
        </w:rPr>
        <w:t xml:space="preserve"> A título de informação, o conjunto das atividades denominadas “portas de acesso” estão nas páginas (e-STJ Fl.616-618). </w:t>
      </w:r>
    </w:p>
  </w:footnote>
  <w:footnote w:id="5">
    <w:p w:rsidR="00A70E71" w:rsidRDefault="00A70E71" w:rsidP="00A70E71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Art. 2º, III, da LC 87/96: “Art. 2° O imposto incide sobre: (...) III - prestações onerosas de serviços de comunicação, por qualquer meio, inclusive a geração, a emissão, a recepção, a transmissão, a retransmissão, a repetição e a ampliação de comunicação de qualquer natureza”.</w:t>
      </w:r>
    </w:p>
  </w:footnote>
  <w:footnote w:id="6">
    <w:p w:rsidR="00A70E71" w:rsidRPr="002968E5" w:rsidRDefault="00A70E71" w:rsidP="00A70E71">
      <w:pPr>
        <w:pStyle w:val="Textodenotaderodap"/>
        <w:jc w:val="both"/>
        <w:rPr>
          <w:rFonts w:cstheme="minorHAnsi"/>
        </w:rPr>
      </w:pPr>
      <w:r w:rsidRPr="002968E5">
        <w:rPr>
          <w:rStyle w:val="Refdenotaderodap"/>
          <w:rFonts w:cstheme="minorHAnsi"/>
        </w:rPr>
        <w:footnoteRef/>
      </w:r>
      <w:r w:rsidRPr="002968E5">
        <w:rPr>
          <w:rFonts w:cstheme="minorHAnsi"/>
        </w:rPr>
        <w:t xml:space="preserve"> Ver, nesse sentido, o acordão recorrido de nº 201621577: “Cinge-se o presente o recurso, portanto, a analisar a possibilidade de tributação do ICMS sobre os serviços inseridos no Convênio 69/98, objeto do auto de infração lavrado pelo embargado” (e-STJ Fl.1024).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ED2B29"/>
    <w:multiLevelType w:val="hybridMultilevel"/>
    <w:tmpl w:val="2FA8A0A2"/>
    <w:lvl w:ilvl="0" w:tplc="E0C8E8B2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71"/>
    <w:rsid w:val="00123B36"/>
    <w:rsid w:val="001547AD"/>
    <w:rsid w:val="001F4D9E"/>
    <w:rsid w:val="002272C1"/>
    <w:rsid w:val="002A1A62"/>
    <w:rsid w:val="002B372E"/>
    <w:rsid w:val="002C09AE"/>
    <w:rsid w:val="003849D2"/>
    <w:rsid w:val="003975CB"/>
    <w:rsid w:val="006608DE"/>
    <w:rsid w:val="006C4B6B"/>
    <w:rsid w:val="007B42CC"/>
    <w:rsid w:val="008135EC"/>
    <w:rsid w:val="008476E7"/>
    <w:rsid w:val="009E02C6"/>
    <w:rsid w:val="00A10414"/>
    <w:rsid w:val="00A70E71"/>
    <w:rsid w:val="00A83644"/>
    <w:rsid w:val="00B23A2F"/>
    <w:rsid w:val="00B65FB1"/>
    <w:rsid w:val="00B9126F"/>
    <w:rsid w:val="00C13252"/>
    <w:rsid w:val="00D24588"/>
    <w:rsid w:val="00D73CDF"/>
    <w:rsid w:val="00D92677"/>
    <w:rsid w:val="00DF0A84"/>
    <w:rsid w:val="00EA6CB9"/>
    <w:rsid w:val="00F1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30082-A85A-433C-A581-91CE7A23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E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70E7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70E7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70E7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70E71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A70E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0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1158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cp:lastPrinted>2023-12-27T23:17:00Z</cp:lastPrinted>
  <dcterms:created xsi:type="dcterms:W3CDTF">2023-12-27T23:15:00Z</dcterms:created>
  <dcterms:modified xsi:type="dcterms:W3CDTF">2023-12-27T23:24:00Z</dcterms:modified>
</cp:coreProperties>
</file>